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A0F3E" w14:textId="77777777" w:rsidR="00972105" w:rsidRDefault="00972105" w:rsidP="000B7F7D"/>
    <w:p w14:paraId="0B5A0F3F" w14:textId="77777777" w:rsidR="000B7F7D" w:rsidRDefault="000B7F7D" w:rsidP="000B7F7D"/>
    <w:tbl>
      <w:tblPr>
        <w:tblStyle w:val="TableGrid"/>
        <w:tblW w:w="14400" w:type="dxa"/>
        <w:tblInd w:w="468" w:type="dxa"/>
        <w:tblLook w:val="04A0" w:firstRow="1" w:lastRow="0" w:firstColumn="1" w:lastColumn="0" w:noHBand="0" w:noVBand="1"/>
      </w:tblPr>
      <w:tblGrid>
        <w:gridCol w:w="4410"/>
        <w:gridCol w:w="9990"/>
      </w:tblGrid>
      <w:tr w:rsidR="000B7F7D" w:rsidRPr="005B09B0" w14:paraId="0B5A0F42"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cPr>
          <w:p w14:paraId="0B5A0F40" w14:textId="77777777" w:rsidR="000B7F7D" w:rsidRPr="005B09B0" w:rsidRDefault="000B7F7D" w:rsidP="00EE1980">
            <w:pPr>
              <w:rPr>
                <w:rFonts w:ascii="Calibri" w:eastAsia="Calibri" w:hAnsi="Calibri" w:cs="Times New Roman"/>
                <w:sz w:val="18"/>
                <w:szCs w:val="18"/>
              </w:rPr>
            </w:pPr>
            <w:r>
              <w:rPr>
                <w:rFonts w:ascii="Calibri" w:eastAsia="Calibri" w:hAnsi="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0B5A0F41" w14:textId="77777777" w:rsidR="000B7F7D" w:rsidRPr="005B09B0" w:rsidRDefault="000B7F7D" w:rsidP="00EE1980">
            <w:pPr>
              <w:rPr>
                <w:sz w:val="18"/>
                <w:szCs w:val="18"/>
              </w:rPr>
            </w:pPr>
            <w:r>
              <w:rPr>
                <w:sz w:val="18"/>
                <w:szCs w:val="18"/>
              </w:rPr>
              <w:t>J.P. Morgan Securities PLC</w:t>
            </w:r>
            <w:r w:rsidRPr="005B09B0">
              <w:rPr>
                <w:sz w:val="18"/>
                <w:szCs w:val="18"/>
              </w:rPr>
              <w:t xml:space="preserve"> </w:t>
            </w:r>
            <w:r>
              <w:rPr>
                <w:sz w:val="18"/>
                <w:szCs w:val="18"/>
              </w:rPr>
              <w:t>(</w:t>
            </w:r>
            <w:r w:rsidRPr="005B09B0">
              <w:rPr>
                <w:rFonts w:hint="eastAsia"/>
                <w:sz w:val="18"/>
                <w:szCs w:val="18"/>
              </w:rPr>
              <w:t>K6Q0W1PS1L1O4IQL9C32</w:t>
            </w:r>
            <w:r>
              <w:rPr>
                <w:sz w:val="18"/>
                <w:szCs w:val="18"/>
              </w:rPr>
              <w:t>)</w:t>
            </w:r>
          </w:p>
        </w:tc>
      </w:tr>
      <w:tr w:rsidR="00671A06" w:rsidRPr="005B09B0" w14:paraId="0B5A0F47"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cPr>
          <w:p w14:paraId="0B5A0F43" w14:textId="77777777" w:rsidR="00671A06" w:rsidRPr="005B09B0" w:rsidRDefault="00671A06" w:rsidP="00671A06">
            <w:pPr>
              <w:rPr>
                <w:rFonts w:ascii="Calibri" w:eastAsia="Calibri" w:hAnsi="Calibri" w:cs="Times New Roman"/>
                <w:sz w:val="18"/>
                <w:szCs w:val="18"/>
              </w:rPr>
            </w:pPr>
            <w:r w:rsidRPr="005B09B0">
              <w:rPr>
                <w:rFonts w:ascii="Calibri" w:eastAsia="Calibri" w:hAnsi="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0F44" w14:textId="77777777" w:rsidR="00671A06" w:rsidRDefault="00671A06" w:rsidP="00671A06">
            <w:pPr>
              <w:rPr>
                <w:rFonts w:ascii="Calibri" w:eastAsia="Calibri" w:hAnsi="Calibri" w:cs="Times New Roman"/>
                <w:sz w:val="18"/>
                <w:szCs w:val="18"/>
              </w:rPr>
            </w:pPr>
            <w:r>
              <w:rPr>
                <w:rFonts w:ascii="Calibri" w:eastAsia="Calibri" w:hAnsi="Calibri" w:cs="Times New Roman"/>
                <w:sz w:val="18"/>
                <w:szCs w:val="18"/>
              </w:rPr>
              <w:t xml:space="preserve">Equities – Shares &amp; Depositary Receipts </w:t>
            </w:r>
          </w:p>
          <w:p w14:paraId="0B5A0F45" w14:textId="77777777" w:rsidR="00671A06" w:rsidRDefault="00671A06" w:rsidP="00671A06">
            <w:pPr>
              <w:rPr>
                <w:rFonts w:ascii="Calibri" w:eastAsia="Calibri" w:hAnsi="Calibri" w:cs="Times New Roman"/>
                <w:sz w:val="18"/>
                <w:szCs w:val="18"/>
              </w:rPr>
            </w:pPr>
            <w:r>
              <w:rPr>
                <w:rFonts w:ascii="Calibri" w:eastAsia="Calibri" w:hAnsi="Calibri" w:cs="Times New Roman"/>
                <w:sz w:val="18"/>
                <w:szCs w:val="18"/>
              </w:rPr>
              <w:t xml:space="preserve">Exchange traded products (Exchange traded funds, exchange traded notes and exchange traded commodities) </w:t>
            </w:r>
          </w:p>
          <w:p w14:paraId="0B5A0F46" w14:textId="77777777" w:rsidR="00671A06" w:rsidRPr="005B09B0" w:rsidRDefault="00671A06" w:rsidP="00671A06">
            <w:pPr>
              <w:rPr>
                <w:rFonts w:ascii="Calibri" w:eastAsia="Calibri" w:hAnsi="Calibri" w:cs="Times New Roman"/>
                <w:color w:val="0000FF"/>
                <w:sz w:val="18"/>
                <w:szCs w:val="18"/>
              </w:rPr>
            </w:pPr>
            <w:r>
              <w:rPr>
                <w:rFonts w:ascii="Calibri" w:eastAsia="Calibri" w:hAnsi="Calibri" w:cs="Times New Roman"/>
                <w:sz w:val="18"/>
                <w:szCs w:val="18"/>
              </w:rPr>
              <w:t xml:space="preserve">Other instruments </w:t>
            </w:r>
          </w:p>
        </w:tc>
      </w:tr>
      <w:tr w:rsidR="00671A06" w:rsidRPr="005B09B0" w14:paraId="0B5A0F49" w14:textId="77777777" w:rsidTr="00EE1980">
        <w:tc>
          <w:tcPr>
            <w:tcW w:w="14400" w:type="dxa"/>
            <w:gridSpan w:val="2"/>
            <w:tcBorders>
              <w:top w:val="single" w:sz="12" w:space="0" w:color="auto"/>
              <w:left w:val="single" w:sz="12" w:space="0" w:color="auto"/>
              <w:right w:val="single" w:sz="12" w:space="0" w:color="auto"/>
            </w:tcBorders>
            <w:shd w:val="clear" w:color="auto" w:fill="D9D9D9"/>
          </w:tcPr>
          <w:p w14:paraId="0B5A0F48" w14:textId="77777777" w:rsidR="00671A06" w:rsidRPr="005B09B0" w:rsidRDefault="00671A06" w:rsidP="00671A06">
            <w:pPr>
              <w:jc w:val="center"/>
              <w:rPr>
                <w:rFonts w:ascii="Calibri" w:eastAsia="Calibri" w:hAnsi="Calibri" w:cs="Times New Roman"/>
                <w:sz w:val="18"/>
                <w:szCs w:val="18"/>
              </w:rPr>
            </w:pPr>
            <w:r w:rsidRPr="005B09B0">
              <w:rPr>
                <w:rFonts w:ascii="Calibri" w:eastAsia="Calibri" w:hAnsi="Calibri" w:cs="Times New Roman"/>
                <w:sz w:val="18"/>
                <w:szCs w:val="18"/>
              </w:rPr>
              <w:t>Summary of Analysis</w:t>
            </w:r>
          </w:p>
        </w:tc>
      </w:tr>
      <w:tr w:rsidR="00671A06" w:rsidRPr="005B09B0" w14:paraId="0B5A0F58" w14:textId="77777777" w:rsidTr="00EE1980">
        <w:tc>
          <w:tcPr>
            <w:tcW w:w="14400" w:type="dxa"/>
            <w:gridSpan w:val="2"/>
            <w:tcBorders>
              <w:left w:val="single" w:sz="12" w:space="0" w:color="auto"/>
              <w:right w:val="single" w:sz="12" w:space="0" w:color="auto"/>
            </w:tcBorders>
          </w:tcPr>
          <w:p w14:paraId="0B5A0F4A" w14:textId="6DB53B10" w:rsidR="00671A06" w:rsidRPr="00AB2361" w:rsidRDefault="00671A06" w:rsidP="00671A06">
            <w:pPr>
              <w:spacing w:after="200" w:line="276" w:lineRule="auto"/>
              <w:rPr>
                <w:sz w:val="18"/>
                <w:szCs w:val="18"/>
                <w:u w:val="single"/>
              </w:rPr>
            </w:pPr>
            <w:r>
              <w:rPr>
                <w:sz w:val="18"/>
                <w:szCs w:val="18"/>
                <w:u w:val="single"/>
              </w:rPr>
              <w:t>Execution Venue Performance:</w:t>
            </w:r>
          </w:p>
          <w:p w14:paraId="0B5A0F4B" w14:textId="77777777" w:rsidR="00671A06" w:rsidRPr="00AB2361" w:rsidRDefault="00671A06" w:rsidP="00671A06">
            <w:pPr>
              <w:spacing w:after="200" w:line="276" w:lineRule="auto"/>
              <w:ind w:left="360"/>
              <w:rPr>
                <w:sz w:val="18"/>
                <w:szCs w:val="18"/>
              </w:rPr>
            </w:pPr>
            <w:r w:rsidRPr="00AB2361">
              <w:rPr>
                <w:sz w:val="18"/>
                <w:szCs w:val="18"/>
              </w:rPr>
              <w:t xml:space="preserve">J.P. Morgan Securities </w:t>
            </w:r>
            <w:r>
              <w:rPr>
                <w:sz w:val="18"/>
                <w:szCs w:val="18"/>
              </w:rPr>
              <w:t>PLC</w:t>
            </w:r>
            <w:r w:rsidRPr="00AB2361">
              <w:rPr>
                <w:sz w:val="18"/>
                <w:szCs w:val="18"/>
              </w:rPr>
              <w:t xml:space="preserve"> monitored a number of performance factors in relation to the venues listed within</w:t>
            </w:r>
            <w:r w:rsidR="00963B3E">
              <w:rPr>
                <w:sz w:val="18"/>
                <w:szCs w:val="18"/>
              </w:rPr>
              <w:t xml:space="preserve"> Appendix 1 of the J.P. Morgan</w:t>
            </w:r>
            <w:r w:rsidRPr="00AB2361">
              <w:rPr>
                <w:sz w:val="18"/>
                <w:szCs w:val="18"/>
              </w:rPr>
              <w:t xml:space="preserve"> execution policy.  The factors reviewed together with the key observations made are as follows:</w:t>
            </w:r>
          </w:p>
          <w:p w14:paraId="0B5A0F4C" w14:textId="77777777" w:rsidR="00671A06" w:rsidRPr="00AB2361" w:rsidRDefault="00671A06" w:rsidP="00671A06">
            <w:pPr>
              <w:spacing w:after="200" w:line="276" w:lineRule="auto"/>
              <w:ind w:left="360"/>
              <w:rPr>
                <w:b/>
                <w:sz w:val="18"/>
                <w:szCs w:val="18"/>
              </w:rPr>
            </w:pPr>
            <w:r w:rsidRPr="00AB2361">
              <w:rPr>
                <w:b/>
                <w:sz w:val="18"/>
                <w:szCs w:val="18"/>
              </w:rPr>
              <w:t xml:space="preserve">Access to Liquidity </w:t>
            </w:r>
          </w:p>
          <w:p w14:paraId="0B5A0F4D" w14:textId="365C56D6" w:rsidR="00671A06" w:rsidRPr="00AB2361" w:rsidRDefault="00671A06" w:rsidP="00671A06">
            <w:pPr>
              <w:spacing w:after="200" w:line="276" w:lineRule="auto"/>
              <w:ind w:left="720"/>
              <w:rPr>
                <w:sz w:val="18"/>
                <w:szCs w:val="18"/>
              </w:rPr>
            </w:pPr>
            <w:r w:rsidRPr="00AB2361">
              <w:rPr>
                <w:sz w:val="18"/>
                <w:szCs w:val="18"/>
                <w:u w:val="single"/>
              </w:rPr>
              <w:t>Conventional Displayed Trading Venues:</w:t>
            </w:r>
            <w:r w:rsidRPr="00AB2361">
              <w:rPr>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w:t>
            </w:r>
            <w:r w:rsidR="00F5586C">
              <w:rPr>
                <w:sz w:val="18"/>
                <w:szCs w:val="18"/>
              </w:rPr>
              <w:t xml:space="preserve">Fs):  CBOE, Turquoise, Aquis.  </w:t>
            </w:r>
            <w:r w:rsidRPr="00AB2361">
              <w:rPr>
                <w:sz w:val="18"/>
                <w:szCs w:val="18"/>
              </w:rPr>
              <w:t>In combination, these venues provide access to over 99% of displayed liquidity in the relevant markets.</w:t>
            </w:r>
          </w:p>
          <w:p w14:paraId="0B5A0F4E" w14:textId="77777777" w:rsidR="00671A06" w:rsidRPr="00AB2361" w:rsidRDefault="00671A06" w:rsidP="00671A06">
            <w:pPr>
              <w:spacing w:after="200" w:line="276" w:lineRule="auto"/>
              <w:ind w:left="720"/>
              <w:rPr>
                <w:sz w:val="18"/>
                <w:szCs w:val="18"/>
              </w:rPr>
            </w:pPr>
            <w:r w:rsidRPr="00AB2361">
              <w:rPr>
                <w:sz w:val="18"/>
                <w:szCs w:val="18"/>
                <w:u w:val="single"/>
              </w:rPr>
              <w:t>Non Displayed, Periodic Auction and other Execution Venues:</w:t>
            </w:r>
            <w:r w:rsidRPr="00AB2361">
              <w:rPr>
                <w:sz w:val="18"/>
                <w:szCs w:val="18"/>
              </w:rPr>
              <w:t xml:space="preserve">  In 2017, we added a number of execution venues in this category to reflect changes in market structure in anticipation of the implementation of MiFID II/MiFIR and to increase access to liquidity in general: BATS Large in Scale, BATS Periodic Auctions, Swiss Liquidnet Service.  The combined market share of non-displayed execution of the venues to which we maintained access was 90%.   Large in Scale venues began to make a significant contribution to available liquidity making up around 20% of our non-displayed trading activity in 2017.</w:t>
            </w:r>
          </w:p>
          <w:p w14:paraId="0B5A0F4F" w14:textId="77777777" w:rsidR="00671A06" w:rsidRPr="00AB2361" w:rsidRDefault="00671A06" w:rsidP="00671A06">
            <w:pPr>
              <w:spacing w:after="200" w:line="276" w:lineRule="auto"/>
              <w:ind w:left="360"/>
              <w:rPr>
                <w:b/>
                <w:sz w:val="18"/>
                <w:szCs w:val="18"/>
              </w:rPr>
            </w:pPr>
            <w:r w:rsidRPr="00AB2361">
              <w:rPr>
                <w:b/>
                <w:sz w:val="18"/>
                <w:szCs w:val="18"/>
              </w:rPr>
              <w:t>Pricing Analysis and Performance</w:t>
            </w:r>
          </w:p>
          <w:p w14:paraId="0B5A0F50" w14:textId="77777777" w:rsidR="00671A06" w:rsidRPr="00AB2361" w:rsidRDefault="00671A06" w:rsidP="00671A06">
            <w:pPr>
              <w:spacing w:after="200" w:line="276" w:lineRule="auto"/>
              <w:ind w:left="720"/>
              <w:rPr>
                <w:sz w:val="18"/>
                <w:szCs w:val="18"/>
              </w:rPr>
            </w:pPr>
            <w:r w:rsidRPr="00AB2361">
              <w:rPr>
                <w:sz w:val="18"/>
                <w:szCs w:val="18"/>
                <w:u w:val="single"/>
              </w:rPr>
              <w:t>Conventional Displayed Trading Venues:</w:t>
            </w:r>
            <w:r w:rsidRPr="00AB2361">
              <w:rPr>
                <w:sz w:val="18"/>
                <w:szCs w:val="18"/>
              </w:rPr>
              <w:t xml:space="preserve"> </w:t>
            </w:r>
            <w:r w:rsidRPr="00AB2361">
              <w:rPr>
                <w:b/>
                <w:sz w:val="18"/>
                <w:szCs w:val="18"/>
              </w:rPr>
              <w:t xml:space="preserve">  </w:t>
            </w:r>
            <w:r w:rsidRPr="00AB2361">
              <w:rPr>
                <w:sz w:val="18"/>
                <w:szCs w:val="18"/>
              </w:rPr>
              <w:t xml:space="preserve">We maintain measures of </w:t>
            </w:r>
            <w:r w:rsidRPr="00AB2361">
              <w:rPr>
                <w:i/>
                <w:sz w:val="18"/>
                <w:szCs w:val="18"/>
              </w:rPr>
              <w:t>price improvement</w:t>
            </w:r>
            <w:r w:rsidRPr="00AB2361">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Aquis.   The metrics observed over 2017 indicate both that the venues themselves provide price improvement opportunities and that our routing practices are successfully identifying those opportunities.  Average price improvement observed across CBOE, Turquoise and Aquis venues ranged from 0.30-1.99 basis points.</w:t>
            </w:r>
          </w:p>
          <w:p w14:paraId="0B5A0F51" w14:textId="77777777" w:rsidR="00671A06" w:rsidRPr="00AB2361" w:rsidRDefault="00671A06" w:rsidP="00671A06">
            <w:pPr>
              <w:spacing w:after="200" w:line="276" w:lineRule="auto"/>
              <w:ind w:left="720"/>
              <w:rPr>
                <w:b/>
                <w:sz w:val="18"/>
                <w:szCs w:val="18"/>
              </w:rPr>
            </w:pPr>
            <w:r w:rsidRPr="00AB2361">
              <w:rPr>
                <w:sz w:val="18"/>
                <w:szCs w:val="18"/>
                <w:u w:val="single"/>
              </w:rPr>
              <w:t xml:space="preserve">Non Displayed, Periodic Auction and other Execution Venues: </w:t>
            </w:r>
            <w:r w:rsidRPr="00AB2361">
              <w:rPr>
                <w:b/>
                <w:sz w:val="18"/>
                <w:szCs w:val="18"/>
              </w:rPr>
              <w:t xml:space="preserve"> </w:t>
            </w:r>
          </w:p>
          <w:p w14:paraId="0B5A0F52" w14:textId="77777777" w:rsidR="00671A06" w:rsidRPr="00AB2361" w:rsidRDefault="00671A06" w:rsidP="00671A06">
            <w:pPr>
              <w:spacing w:after="200" w:line="276" w:lineRule="auto"/>
              <w:ind w:left="720"/>
              <w:rPr>
                <w:sz w:val="18"/>
                <w:szCs w:val="18"/>
                <w:u w:val="single"/>
              </w:rPr>
            </w:pPr>
            <w:r w:rsidRPr="00AB2361">
              <w:rPr>
                <w:b/>
                <w:sz w:val="18"/>
                <w:szCs w:val="18"/>
              </w:rPr>
              <w:t xml:space="preserve">Third Party Venues: </w:t>
            </w:r>
            <w:r w:rsidRPr="00AB2361">
              <w:rPr>
                <w:sz w:val="18"/>
                <w:szCs w:val="18"/>
              </w:rPr>
              <w:t xml:space="preserve">all categories of venue within this class provided significant price improvement with Broker Crossing Networks (BCNs) exhibiting the best performance both at trade-time and with reference to prevailing prices before and after the trade.  There was some variation in the pricing characteristics exhibited by the trading venues operating under the reference price waiver: some venues provided better prices when benchmarked against the prevailing price at execution time; others provided better prices when the execution price was compared with prevailing prices around the execution time.  </w:t>
            </w:r>
          </w:p>
          <w:p w14:paraId="0B5A0F53" w14:textId="77777777" w:rsidR="00671A06" w:rsidRPr="00AB2361" w:rsidRDefault="00671A06" w:rsidP="00671A06">
            <w:pPr>
              <w:spacing w:after="200" w:line="276" w:lineRule="auto"/>
              <w:ind w:left="720"/>
              <w:rPr>
                <w:b/>
                <w:sz w:val="18"/>
                <w:szCs w:val="18"/>
              </w:rPr>
            </w:pPr>
            <w:r w:rsidRPr="00AB2361">
              <w:rPr>
                <w:b/>
                <w:sz w:val="18"/>
                <w:szCs w:val="18"/>
              </w:rPr>
              <w:t xml:space="preserve">Internalisation via JPM-X: </w:t>
            </w:r>
            <w:r w:rsidRPr="00AB2361">
              <w:rPr>
                <w:sz w:val="18"/>
                <w:szCs w:val="18"/>
              </w:rPr>
              <w:t>our broker crossing network (BCN), which was de-commissioned as part of the MiFID II/MiFIR implementation was our  largest venue of execution by value in 2017.   Estimated spread costs associated with transactions during the course of executing client orders were 0.28 basis points.  These compared favourably with the estimated spread costs of over 1 basis point associated with bid/offer navigation on external trading venues.</w:t>
            </w:r>
          </w:p>
          <w:p w14:paraId="0B5A0F54" w14:textId="77777777" w:rsidR="00671A06" w:rsidRPr="00AB2361" w:rsidRDefault="006B610D" w:rsidP="00671A06">
            <w:pPr>
              <w:spacing w:after="200" w:line="276" w:lineRule="auto"/>
              <w:ind w:left="360"/>
              <w:rPr>
                <w:sz w:val="18"/>
                <w:szCs w:val="18"/>
              </w:rPr>
            </w:pPr>
            <w:r>
              <w:rPr>
                <w:b/>
                <w:sz w:val="18"/>
                <w:szCs w:val="18"/>
              </w:rPr>
              <w:lastRenderedPageBreak/>
              <w:t xml:space="preserve">Latency and Fill Rates  </w:t>
            </w:r>
            <w:r>
              <w:rPr>
                <w:sz w:val="18"/>
                <w:szCs w:val="18"/>
              </w:rPr>
              <w:t>(</w:t>
            </w:r>
            <w:r>
              <w:rPr>
                <w:sz w:val="18"/>
                <w:szCs w:val="18"/>
                <w:u w:val="single"/>
              </w:rPr>
              <w:t xml:space="preserve">Applicable to </w:t>
            </w:r>
            <w:r w:rsidR="00671A06" w:rsidRPr="00AB2361">
              <w:rPr>
                <w:sz w:val="18"/>
                <w:szCs w:val="18"/>
                <w:u w:val="single"/>
              </w:rPr>
              <w:t>Conventional Displayed Trading Venues Only)</w:t>
            </w:r>
            <w:r w:rsidR="00671A06" w:rsidRPr="00AB2361">
              <w:rPr>
                <w:b/>
                <w:sz w:val="18"/>
                <w:szCs w:val="18"/>
              </w:rPr>
              <w:t xml:space="preserve"> | </w:t>
            </w:r>
            <w:r w:rsidR="008A7E21">
              <w:rPr>
                <w:sz w:val="18"/>
                <w:szCs w:val="18"/>
              </w:rPr>
              <w:t>This relates to the ability</w:t>
            </w:r>
            <w:r w:rsidR="00671A06" w:rsidRPr="00AB2361">
              <w:rPr>
                <w:sz w:val="18"/>
                <w:szCs w:val="18"/>
              </w:rPr>
              <w:t xml:space="preserve"> of our systems to reliably access displayed liquidity</w:t>
            </w:r>
            <w:r w:rsidR="00963B3E">
              <w:rPr>
                <w:sz w:val="18"/>
                <w:szCs w:val="18"/>
              </w:rPr>
              <w:t xml:space="preserve">. </w:t>
            </w:r>
            <w:r w:rsidR="00671A06" w:rsidRPr="00AB2361">
              <w:rPr>
                <w:sz w:val="18"/>
                <w:szCs w:val="18"/>
              </w:rPr>
              <w:t xml:space="preserve"> This performance factor reflects that of our own systems as well as those of the venue itself and its physical location.</w:t>
            </w:r>
          </w:p>
          <w:p w14:paraId="0B5A0F55" w14:textId="77777777" w:rsidR="00671A06" w:rsidRPr="00AB2361" w:rsidRDefault="00671A06" w:rsidP="00671A06">
            <w:pPr>
              <w:spacing w:after="200" w:line="276" w:lineRule="auto"/>
              <w:ind w:left="720"/>
              <w:rPr>
                <w:sz w:val="18"/>
                <w:szCs w:val="18"/>
              </w:rPr>
            </w:pPr>
            <w:r w:rsidRPr="00AB2361">
              <w:rPr>
                <w:b/>
                <w:sz w:val="18"/>
                <w:szCs w:val="18"/>
              </w:rPr>
              <w:t>Market access latencies:</w:t>
            </w:r>
            <w:r w:rsidRPr="00AB2361">
              <w:rPr>
                <w:sz w:val="18"/>
                <w:szCs w:val="18"/>
              </w:rPr>
              <w:t xml:space="preserve"> were largely driven by the location of a trading venue’s datacentre: U.K.-based displayed venues exhibited median round-trip times ranging from 0.5 – 1.6 milliseconds.  Round-trip times exhibited by venues based in continental datacentres ranged from 9.56-25.6 milliseconds.</w:t>
            </w:r>
          </w:p>
          <w:p w14:paraId="0B5A0F56" w14:textId="77777777" w:rsidR="00671A06" w:rsidRPr="00AB2361" w:rsidRDefault="00671A06" w:rsidP="00671A06">
            <w:pPr>
              <w:spacing w:after="200" w:line="276" w:lineRule="auto"/>
              <w:ind w:left="720"/>
              <w:rPr>
                <w:b/>
              </w:rPr>
            </w:pPr>
            <w:r w:rsidRPr="00AB2361">
              <w:rPr>
                <w:b/>
                <w:sz w:val="18"/>
                <w:szCs w:val="18"/>
              </w:rPr>
              <w:t xml:space="preserve">Fill rates: </w:t>
            </w:r>
            <w:r w:rsidRPr="00AB2361">
              <w:rPr>
                <w:sz w:val="18"/>
                <w:szCs w:val="18"/>
              </w:rPr>
              <w:t xml:space="preserve">weighted average </w:t>
            </w:r>
            <w:r w:rsidRPr="00AB2361">
              <w:rPr>
                <w:i/>
                <w:sz w:val="18"/>
                <w:szCs w:val="18"/>
              </w:rPr>
              <w:t>fill rates</w:t>
            </w:r>
            <w:r w:rsidRPr="00AB2361">
              <w:rPr>
                <w:sz w:val="18"/>
                <w:szCs w:val="18"/>
                <w:vertAlign w:val="superscript"/>
              </w:rPr>
              <w:footnoteReference w:id="1"/>
            </w:r>
            <w:r w:rsidRPr="00AB2361">
              <w:rPr>
                <w:sz w:val="18"/>
                <w:szCs w:val="18"/>
              </w:rPr>
              <w:t xml:space="preserve"> obtained across lit venues for immediate or cancelled (IOC) orders were 98.73% when sending orders to individual venues and 97.10% when sending orders to multiple venues within a single routing decision.  From these data, we conclude that we are able to reliably capture the liquidity displayed to us by these trading venues.</w:t>
            </w:r>
          </w:p>
          <w:p w14:paraId="0B5A0F57" w14:textId="77777777" w:rsidR="00671A06" w:rsidRPr="005B09B0" w:rsidRDefault="00671A06" w:rsidP="00671A06">
            <w:pPr>
              <w:contextualSpacing/>
              <w:rPr>
                <w:rFonts w:ascii="Calibri" w:eastAsia="Calibri" w:hAnsi="Calibri" w:cs="Times New Roman"/>
                <w:color w:val="0000FF"/>
                <w:sz w:val="14"/>
                <w:szCs w:val="14"/>
              </w:rPr>
            </w:pPr>
          </w:p>
        </w:tc>
      </w:tr>
    </w:tbl>
    <w:tbl>
      <w:tblPr>
        <w:tblStyle w:val="TableGrid1"/>
        <w:tblW w:w="14400" w:type="dxa"/>
        <w:tblInd w:w="468" w:type="dxa"/>
        <w:tblLook w:val="04A0" w:firstRow="1" w:lastRow="0" w:firstColumn="1" w:lastColumn="0" w:noHBand="0" w:noVBand="1"/>
      </w:tblPr>
      <w:tblGrid>
        <w:gridCol w:w="4410"/>
        <w:gridCol w:w="9990"/>
      </w:tblGrid>
      <w:tr w:rsidR="000B7F7D" w:rsidRPr="005B09B0" w14:paraId="0B5A0F62" w14:textId="77777777" w:rsidTr="00EE1980">
        <w:tc>
          <w:tcPr>
            <w:tcW w:w="4410" w:type="dxa"/>
            <w:tcBorders>
              <w:left w:val="single" w:sz="12" w:space="0" w:color="auto"/>
            </w:tcBorders>
            <w:shd w:val="clear" w:color="auto" w:fill="D9D9D9"/>
          </w:tcPr>
          <w:p w14:paraId="0B5A0F59" w14:textId="77777777" w:rsidR="000B7F7D" w:rsidRPr="005B09B0" w:rsidRDefault="000B7F7D" w:rsidP="00EE1980">
            <w:pPr>
              <w:rPr>
                <w:rFonts w:ascii="Calibri" w:eastAsia="Calibri" w:hAnsi="Calibri" w:cs="Times New Roman"/>
                <w:sz w:val="18"/>
                <w:szCs w:val="18"/>
              </w:rPr>
            </w:pPr>
            <w:r w:rsidRPr="005B09B0">
              <w:rPr>
                <w:rFonts w:ascii="Calibri" w:eastAsia="Calibri" w:hAnsi="Calibri" w:cs="Times New Roman"/>
                <w:sz w:val="18"/>
                <w:szCs w:val="18"/>
              </w:rPr>
              <w:lastRenderedPageBreak/>
              <w:t>Relative importance given to execution factors &amp; other considerations</w:t>
            </w:r>
          </w:p>
        </w:tc>
        <w:tc>
          <w:tcPr>
            <w:tcW w:w="9990" w:type="dxa"/>
            <w:tcBorders>
              <w:right w:val="single" w:sz="12" w:space="0" w:color="auto"/>
            </w:tcBorders>
          </w:tcPr>
          <w:p w14:paraId="0B5A0F5A" w14:textId="77777777" w:rsidR="00AB2361" w:rsidRPr="00AB2361" w:rsidRDefault="00AB2361" w:rsidP="00AB2361">
            <w:pPr>
              <w:pStyle w:val="Heading2"/>
              <w:outlineLvl w:val="1"/>
              <w:rPr>
                <w:rFonts w:asciiTheme="minorHAnsi" w:hAnsiTheme="minorHAnsi" w:cstheme="minorHAnsi"/>
                <w:color w:val="000000" w:themeColor="text1"/>
                <w:sz w:val="18"/>
                <w:szCs w:val="18"/>
                <w:u w:val="single"/>
              </w:rPr>
            </w:pPr>
            <w:r w:rsidRPr="00AB2361">
              <w:rPr>
                <w:rFonts w:asciiTheme="minorHAnsi" w:hAnsiTheme="minorHAnsi" w:cstheme="minorHAnsi"/>
                <w:color w:val="000000" w:themeColor="text1"/>
                <w:sz w:val="18"/>
                <w:szCs w:val="18"/>
                <w:u w:val="single"/>
              </w:rPr>
              <w:t>Execution factors affecting short term venue selection:</w:t>
            </w:r>
          </w:p>
          <w:p w14:paraId="0B5A0F5B" w14:textId="77777777" w:rsidR="00AB2361" w:rsidRPr="00AB2361" w:rsidRDefault="00AB2361" w:rsidP="00AB2361">
            <w:pPr>
              <w:pStyle w:val="23BodyText"/>
              <w:rPr>
                <w:rFonts w:asciiTheme="minorHAnsi" w:hAnsiTheme="minorHAnsi" w:cstheme="minorHAnsi"/>
                <w:color w:val="000000" w:themeColor="text1"/>
                <w:sz w:val="18"/>
                <w:szCs w:val="18"/>
              </w:rPr>
            </w:pPr>
          </w:p>
          <w:p w14:paraId="0B5A0F5C" w14:textId="77777777" w:rsidR="00AB2361" w:rsidRPr="00AB2361" w:rsidRDefault="00AB2361" w:rsidP="00AB2361">
            <w:pPr>
              <w:pStyle w:val="23BodyText"/>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Where we are choosing between multiple </w:t>
            </w:r>
            <w:r w:rsidRPr="00AB2361">
              <w:rPr>
                <w:rFonts w:asciiTheme="minorHAnsi" w:hAnsiTheme="minorHAnsi" w:cstheme="minorHAnsi"/>
                <w:i/>
                <w:color w:val="000000" w:themeColor="text1"/>
                <w:sz w:val="18"/>
                <w:szCs w:val="18"/>
              </w:rPr>
              <w:t>execution venues</w:t>
            </w:r>
            <w:r w:rsidRPr="00AB2361">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0B5A0F5D" w14:textId="77777777" w:rsidR="00AB2361" w:rsidRPr="00AB2361" w:rsidRDefault="00AB2361" w:rsidP="00AB2361">
            <w:pPr>
              <w:pStyle w:val="Bullet1"/>
              <w:numPr>
                <w:ilvl w:val="0"/>
                <w:numId w:val="2"/>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marketable</w:t>
            </w:r>
            <w:r w:rsidRPr="00AB2361">
              <w:rPr>
                <w:rFonts w:asciiTheme="minorHAnsi" w:hAnsiTheme="minorHAnsi" w:cstheme="minorHAnsi"/>
                <w:color w:val="000000" w:themeColor="text1"/>
                <w:sz w:val="18"/>
                <w:szCs w:val="18"/>
              </w:rPr>
              <w:t xml:space="preserve"> </w:t>
            </w:r>
            <w:r w:rsidRPr="00AB2361">
              <w:rPr>
                <w:rFonts w:asciiTheme="minorHAnsi" w:hAnsiTheme="minorHAnsi" w:cstheme="minorHAnsi"/>
                <w:i/>
                <w:color w:val="000000" w:themeColor="text1"/>
                <w:sz w:val="18"/>
                <w:szCs w:val="18"/>
              </w:rPr>
              <w:t>orders</w:t>
            </w:r>
            <w:r w:rsidRPr="00AB2361">
              <w:rPr>
                <w:rFonts w:asciiTheme="minorHAnsi" w:hAnsiTheme="minorHAnsi" w:cstheme="minorHAnsi"/>
                <w:color w:val="000000" w:themeColor="text1"/>
                <w:sz w:val="18"/>
                <w:szCs w:val="18"/>
              </w:rPr>
              <w:t>: our primary goal will usually</w:t>
            </w:r>
            <w:r>
              <w:rPr>
                <w:rStyle w:val="FootnoteReference"/>
                <w:rFonts w:asciiTheme="minorHAnsi" w:hAnsiTheme="minorHAnsi" w:cstheme="minorHAnsi"/>
                <w:color w:val="000000" w:themeColor="text1"/>
                <w:sz w:val="18"/>
                <w:szCs w:val="18"/>
              </w:rPr>
              <w:footnoteReference w:id="2"/>
            </w:r>
            <w:r w:rsidRPr="00AB2361">
              <w:rPr>
                <w:rFonts w:asciiTheme="minorHAnsi" w:hAnsiTheme="minorHAnsi" w:cstheme="minorHAnsi"/>
                <w:color w:val="000000" w:themeColor="text1"/>
                <w:sz w:val="18"/>
                <w:szCs w:val="18"/>
              </w:rPr>
              <w:t xml:space="preserve"> be to achieve the best price, followed by maximizing the speed and likelihood of execution. We may take into account the cost of execution provided that it is not to the detriment of the other factors.</w:t>
            </w:r>
          </w:p>
          <w:p w14:paraId="0B5A0F5E" w14:textId="77777777" w:rsidR="00AB2361" w:rsidRPr="00AB2361" w:rsidRDefault="00AB2361" w:rsidP="00AB2361">
            <w:pPr>
              <w:pStyle w:val="Bullet1"/>
              <w:numPr>
                <w:ilvl w:val="0"/>
                <w:numId w:val="2"/>
              </w:numPr>
              <w:rPr>
                <w:rFonts w:asciiTheme="minorHAnsi" w:hAnsiTheme="minorHAnsi" w:cstheme="minorHAnsi"/>
                <w:color w:val="000000" w:themeColor="text1"/>
                <w:sz w:val="18"/>
                <w:szCs w:val="18"/>
              </w:rPr>
            </w:pPr>
            <w:r w:rsidRPr="00AB2361">
              <w:rPr>
                <w:rFonts w:asciiTheme="minorHAnsi" w:hAnsiTheme="minorHAnsi" w:cstheme="minorHAnsi"/>
                <w:i/>
                <w:color w:val="000000" w:themeColor="text1"/>
                <w:sz w:val="18"/>
                <w:szCs w:val="18"/>
              </w:rPr>
              <w:t>non-marketable orders</w:t>
            </w:r>
            <w:r w:rsidRPr="00AB2361">
              <w:rPr>
                <w:rFonts w:asciiTheme="minorHAnsi" w:hAnsiTheme="minorHAnsi" w:cstheme="minorHAnsi"/>
                <w:color w:val="000000" w:themeColor="text1"/>
                <w:sz w:val="18"/>
                <w:szCs w:val="18"/>
              </w:rPr>
              <w:t xml:space="preserve"> on </w:t>
            </w:r>
            <w:r w:rsidRPr="00AB2361">
              <w:rPr>
                <w:rFonts w:asciiTheme="minorHAnsi" w:hAnsiTheme="minorHAnsi" w:cstheme="minorHAnsi"/>
                <w:i/>
                <w:color w:val="000000" w:themeColor="text1"/>
                <w:sz w:val="18"/>
                <w:szCs w:val="18"/>
              </w:rPr>
              <w:t>displayed execution</w:t>
            </w:r>
            <w:r w:rsidRPr="00AB2361">
              <w:rPr>
                <w:rFonts w:asciiTheme="minorHAnsi" w:hAnsiTheme="minorHAnsi" w:cstheme="minorHAnsi"/>
                <w:color w:val="000000" w:themeColor="text1"/>
                <w:sz w:val="18"/>
                <w:szCs w:val="18"/>
              </w:rPr>
              <w:t xml:space="preserve"> venues: we consider that the price of the execution is set and our choice of venue will be determined by maximizing both the speed and likelihood of execution only.</w:t>
            </w:r>
          </w:p>
          <w:p w14:paraId="0B5A0F5F" w14:textId="77777777" w:rsidR="00AB2361" w:rsidRPr="00AB2361" w:rsidRDefault="00AB2361" w:rsidP="00AB2361">
            <w:pPr>
              <w:pStyle w:val="Bullet1"/>
              <w:numPr>
                <w:ilvl w:val="0"/>
                <w:numId w:val="2"/>
              </w:numPr>
              <w:rPr>
                <w:rFonts w:asciiTheme="minorHAnsi" w:hAnsiTheme="minorHAnsi" w:cstheme="minorHAnsi"/>
                <w:color w:val="000000" w:themeColor="text1"/>
                <w:sz w:val="18"/>
                <w:szCs w:val="18"/>
              </w:rPr>
            </w:pPr>
            <w:r w:rsidRPr="00AB2361">
              <w:rPr>
                <w:rFonts w:asciiTheme="minorHAnsi" w:hAnsiTheme="minorHAnsi" w:cstheme="minorHAnsi"/>
                <w:color w:val="000000" w:themeColor="text1"/>
                <w:sz w:val="18"/>
                <w:szCs w:val="18"/>
              </w:rPr>
              <w:t xml:space="preserve">orders across a range of </w:t>
            </w:r>
            <w:r w:rsidRPr="00AB2361">
              <w:rPr>
                <w:rFonts w:asciiTheme="minorHAnsi" w:hAnsiTheme="minorHAnsi" w:cstheme="minorHAnsi"/>
                <w:i/>
                <w:color w:val="000000" w:themeColor="text1"/>
                <w:sz w:val="18"/>
                <w:szCs w:val="18"/>
              </w:rPr>
              <w:t xml:space="preserve">non-displayed, </w:t>
            </w:r>
            <w:r w:rsidRPr="00AB2361">
              <w:rPr>
                <w:rFonts w:asciiTheme="minorHAnsi" w:hAnsiTheme="minorHAnsi" w:cstheme="minorHAnsi"/>
                <w:color w:val="000000" w:themeColor="text1"/>
                <w:sz w:val="18"/>
                <w:szCs w:val="18"/>
              </w:rPr>
              <w:t>or</w:t>
            </w:r>
            <w:r w:rsidRPr="00AB2361">
              <w:rPr>
                <w:rFonts w:asciiTheme="minorHAnsi" w:hAnsiTheme="minorHAnsi" w:cstheme="minorHAnsi"/>
                <w:i/>
                <w:color w:val="000000" w:themeColor="text1"/>
                <w:sz w:val="18"/>
                <w:szCs w:val="18"/>
              </w:rPr>
              <w:t xml:space="preserve"> periodic-auction </w:t>
            </w:r>
            <w:r w:rsidRPr="00AB2361">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preferencing </w:t>
            </w:r>
            <w:r w:rsidRPr="00AB2361">
              <w:rPr>
                <w:rFonts w:asciiTheme="minorHAnsi" w:hAnsiTheme="minorHAnsi" w:cstheme="minorHAnsi"/>
                <w:i/>
                <w:color w:val="000000" w:themeColor="text1"/>
                <w:sz w:val="18"/>
                <w:szCs w:val="18"/>
              </w:rPr>
              <w:t>internalisation</w:t>
            </w:r>
            <w:r w:rsidRPr="00AB2361">
              <w:rPr>
                <w:rFonts w:asciiTheme="minorHAnsi" w:hAnsiTheme="minorHAnsi" w:cstheme="minorHAnsi"/>
                <w:color w:val="000000" w:themeColor="text1"/>
                <w:sz w:val="18"/>
                <w:szCs w:val="18"/>
              </w:rPr>
              <w:t>.</w:t>
            </w:r>
          </w:p>
          <w:p w14:paraId="0B5A0F60" w14:textId="77777777" w:rsidR="00AB2361" w:rsidRPr="00AB2361" w:rsidRDefault="00AB2361" w:rsidP="00AB2361">
            <w:pPr>
              <w:jc w:val="both"/>
              <w:rPr>
                <w:rFonts w:cstheme="minorHAnsi"/>
                <w:color w:val="000000" w:themeColor="text1"/>
                <w:sz w:val="18"/>
                <w:szCs w:val="18"/>
              </w:rPr>
            </w:pPr>
            <w:r w:rsidRPr="00AB2361">
              <w:rPr>
                <w:rFonts w:cstheme="minorHAnsi"/>
                <w:color w:val="000000" w:themeColor="text1"/>
                <w:sz w:val="18"/>
                <w:szCs w:val="18"/>
              </w:rPr>
              <w:t xml:space="preserve">Please refer to our </w:t>
            </w:r>
            <w:hyperlink r:id="rId11" w:history="1">
              <w:r w:rsidRPr="00AB2361">
                <w:rPr>
                  <w:rStyle w:val="Hyperlink"/>
                  <w:rFonts w:cstheme="minorHAnsi"/>
                  <w:color w:val="000000" w:themeColor="text1"/>
                  <w:sz w:val="18"/>
                  <w:szCs w:val="18"/>
                </w:rPr>
                <w:t>execution policy</w:t>
              </w:r>
            </w:hyperlink>
            <w:r w:rsidRPr="00AB2361">
              <w:rPr>
                <w:rFonts w:cstheme="minorHAnsi"/>
                <w:color w:val="000000" w:themeColor="text1"/>
                <w:sz w:val="18"/>
                <w:szCs w:val="18"/>
              </w:rPr>
              <w:t xml:space="preserve"> for further information on factors affecting our choice of execution venues .</w:t>
            </w:r>
          </w:p>
          <w:p w14:paraId="0B5A0F61" w14:textId="77777777" w:rsidR="000B7F7D" w:rsidRPr="00AB2361" w:rsidRDefault="000B7F7D" w:rsidP="00EE1980">
            <w:pPr>
              <w:jc w:val="both"/>
              <w:rPr>
                <w:rFonts w:ascii="Arial" w:eastAsia="LF_Kai" w:hAnsi="Arial" w:cs="Arial"/>
                <w:color w:val="000000"/>
                <w:sz w:val="18"/>
                <w:szCs w:val="18"/>
                <w:lang w:eastAsia="zh-CN" w:bidi="yi-Hebr"/>
              </w:rPr>
            </w:pPr>
          </w:p>
        </w:tc>
      </w:tr>
      <w:tr w:rsidR="000B7F7D" w:rsidRPr="005B09B0" w14:paraId="0B5A0F65" w14:textId="77777777" w:rsidTr="00EE1980">
        <w:tc>
          <w:tcPr>
            <w:tcW w:w="4410" w:type="dxa"/>
            <w:tcBorders>
              <w:left w:val="single" w:sz="12" w:space="0" w:color="auto"/>
            </w:tcBorders>
            <w:shd w:val="clear" w:color="auto" w:fill="D9D9D9"/>
          </w:tcPr>
          <w:p w14:paraId="0B5A0F63" w14:textId="77777777" w:rsidR="000B7F7D" w:rsidRPr="005B09B0" w:rsidRDefault="000B7F7D" w:rsidP="00EE1980">
            <w:pPr>
              <w:rPr>
                <w:rFonts w:ascii="Calibri" w:eastAsia="Calibri" w:hAnsi="Calibri" w:cs="Times New Roman"/>
                <w:sz w:val="18"/>
                <w:szCs w:val="18"/>
              </w:rPr>
            </w:pPr>
            <w:r w:rsidRPr="005B09B0">
              <w:rPr>
                <w:rFonts w:ascii="Calibri" w:eastAsia="Calibri" w:hAnsi="Calibri" w:cs="Times New Roman"/>
                <w:sz w:val="18"/>
                <w:szCs w:val="18"/>
              </w:rPr>
              <w:t>Execution venue close links / conflicts of interest / common ownerships</w:t>
            </w:r>
          </w:p>
        </w:tc>
        <w:tc>
          <w:tcPr>
            <w:tcW w:w="9990" w:type="dxa"/>
            <w:tcBorders>
              <w:right w:val="single" w:sz="12" w:space="0" w:color="auto"/>
            </w:tcBorders>
          </w:tcPr>
          <w:p w14:paraId="0B5A0F64" w14:textId="77777777" w:rsidR="000B7F7D" w:rsidRPr="00AB2361" w:rsidRDefault="00AB2361" w:rsidP="00EE1980">
            <w:pPr>
              <w:rPr>
                <w:rFonts w:eastAsia="Calibri" w:cstheme="minorHAnsi"/>
                <w:sz w:val="18"/>
                <w:szCs w:val="18"/>
              </w:rPr>
            </w:pPr>
            <w:r w:rsidRPr="00AB2361">
              <w:rPr>
                <w:rFonts w:cstheme="minorHAnsi"/>
                <w:sz w:val="18"/>
                <w:szCs w:val="18"/>
              </w:rPr>
              <w:t xml:space="preserve">J.P. Morgan Financial Investments Limited </w:t>
            </w:r>
            <w:r w:rsidRPr="00AB2361">
              <w:rPr>
                <w:rFonts w:cstheme="minorHAnsi"/>
                <w:color w:val="000000" w:themeColor="text1"/>
                <w:sz w:val="18"/>
                <w:szCs w:val="18"/>
              </w:rPr>
              <w:t xml:space="preserve">has a stake (of 2.4%) in Turquoise Global Holdings Limited which owns the trading venue </w:t>
            </w:r>
            <w:r w:rsidRPr="00AB2361">
              <w:rPr>
                <w:rFonts w:cstheme="minorHAnsi"/>
                <w:i/>
                <w:color w:val="000000" w:themeColor="text1"/>
                <w:sz w:val="18"/>
                <w:szCs w:val="18"/>
              </w:rPr>
              <w:t>Turquoise</w:t>
            </w:r>
            <w:r w:rsidRPr="00AB2361">
              <w:rPr>
                <w:rFonts w:cstheme="minorHAnsi"/>
                <w:color w:val="000000" w:themeColor="text1"/>
                <w:sz w:val="18"/>
                <w:szCs w:val="18"/>
              </w:rPr>
              <w:t>.</w:t>
            </w:r>
            <w:r w:rsidR="008A7E21">
              <w:rPr>
                <w:rFonts w:cstheme="minorHAnsi"/>
                <w:color w:val="000000" w:themeColor="text1"/>
                <w:sz w:val="18"/>
                <w:szCs w:val="18"/>
              </w:rPr>
              <w:t xml:space="preserve">  J.P. Morgan Securities PLC is a fully owned subsidiary of J.P. Morgan Chase &amp; Co.</w:t>
            </w:r>
          </w:p>
        </w:tc>
      </w:tr>
      <w:tr w:rsidR="00AB2361" w:rsidRPr="005B09B0" w14:paraId="0B5A0F69" w14:textId="77777777" w:rsidTr="00EE1980">
        <w:tc>
          <w:tcPr>
            <w:tcW w:w="4410" w:type="dxa"/>
            <w:tcBorders>
              <w:left w:val="single" w:sz="12" w:space="0" w:color="auto"/>
            </w:tcBorders>
            <w:shd w:val="clear" w:color="auto" w:fill="D9D9D9"/>
          </w:tcPr>
          <w:p w14:paraId="0B5A0F66" w14:textId="77777777" w:rsidR="00AB2361" w:rsidRPr="005B09B0" w:rsidRDefault="00AB2361" w:rsidP="00AB2361">
            <w:pPr>
              <w:rPr>
                <w:rFonts w:ascii="Calibri" w:eastAsia="Calibri" w:hAnsi="Calibri" w:cs="Times New Roman"/>
                <w:sz w:val="18"/>
                <w:szCs w:val="18"/>
              </w:rPr>
            </w:pPr>
            <w:r w:rsidRPr="005B09B0">
              <w:rPr>
                <w:rFonts w:ascii="Calibri" w:eastAsia="Calibri" w:hAnsi="Calibri" w:cs="Times New Roman"/>
                <w:sz w:val="18"/>
                <w:szCs w:val="18"/>
              </w:rPr>
              <w:t>Specific execution venue arrangements</w:t>
            </w:r>
          </w:p>
        </w:tc>
        <w:tc>
          <w:tcPr>
            <w:tcW w:w="9990" w:type="dxa"/>
            <w:tcBorders>
              <w:right w:val="single" w:sz="12" w:space="0" w:color="auto"/>
            </w:tcBorders>
          </w:tcPr>
          <w:p w14:paraId="0B5A0F67" w14:textId="77777777" w:rsidR="00AB2361" w:rsidRPr="00AB2361" w:rsidRDefault="00AB2361" w:rsidP="00AB2361">
            <w:pPr>
              <w:spacing w:after="120"/>
              <w:rPr>
                <w:rFonts w:cstheme="minorHAnsi"/>
                <w:color w:val="000000" w:themeColor="text1"/>
                <w:sz w:val="18"/>
                <w:szCs w:val="18"/>
              </w:rPr>
            </w:pPr>
            <w:r w:rsidRPr="00AB2361">
              <w:rPr>
                <w:rFonts w:cstheme="minorHAnsi"/>
                <w:color w:val="000000" w:themeColor="text1"/>
                <w:sz w:val="18"/>
                <w:szCs w:val="18"/>
              </w:rPr>
              <w:t>Regarding payments made or received, discounts, rebates or non-monetary benefits received:</w:t>
            </w:r>
          </w:p>
          <w:p w14:paraId="0B5A0F68" w14:textId="77777777" w:rsidR="00AB2361" w:rsidRPr="00AB2361" w:rsidRDefault="00AB2361" w:rsidP="00AB2361">
            <w:pPr>
              <w:spacing w:after="120"/>
              <w:rPr>
                <w:rFonts w:eastAsia="Calibri" w:cstheme="minorHAnsi"/>
                <w:color w:val="000000"/>
                <w:sz w:val="18"/>
                <w:szCs w:val="18"/>
              </w:rPr>
            </w:pPr>
            <w:r w:rsidRPr="00AB2361">
              <w:rPr>
                <w:rFonts w:cstheme="minorHAnsi"/>
                <w:color w:val="000000" w:themeColor="text1"/>
                <w:sz w:val="18"/>
                <w:szCs w:val="18"/>
              </w:rPr>
              <w:t>J.P. Morgan 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tc>
      </w:tr>
      <w:tr w:rsidR="00AB2361" w:rsidRPr="005B09B0" w14:paraId="0B5A0F70" w14:textId="77777777" w:rsidTr="00EE1980">
        <w:tc>
          <w:tcPr>
            <w:tcW w:w="4410" w:type="dxa"/>
            <w:shd w:val="clear" w:color="auto" w:fill="D9D9D9" w:themeFill="background1" w:themeFillShade="D9"/>
          </w:tcPr>
          <w:p w14:paraId="0B5A0F6A" w14:textId="77777777" w:rsidR="00AB2361" w:rsidRPr="005B09B0" w:rsidRDefault="00AB2361" w:rsidP="00AB2361">
            <w:pPr>
              <w:rPr>
                <w:rFonts w:ascii="Calibri" w:eastAsia="Calibri" w:hAnsi="Calibri" w:cs="Times New Roman"/>
                <w:sz w:val="18"/>
                <w:szCs w:val="18"/>
              </w:rPr>
            </w:pPr>
            <w:r w:rsidRPr="005B09B0">
              <w:rPr>
                <w:rFonts w:ascii="Calibri" w:eastAsia="Calibri" w:hAnsi="Calibri" w:cs="Times New Roman"/>
                <w:sz w:val="18"/>
                <w:szCs w:val="18"/>
              </w:rPr>
              <w:t>Changes to execution venues</w:t>
            </w:r>
          </w:p>
        </w:tc>
        <w:tc>
          <w:tcPr>
            <w:tcW w:w="9990" w:type="dxa"/>
          </w:tcPr>
          <w:p w14:paraId="0B5A0F6B" w14:textId="77777777" w:rsidR="00AB2361" w:rsidRPr="00AB2361" w:rsidRDefault="00AB2361" w:rsidP="00AB2361">
            <w:pPr>
              <w:spacing w:after="120"/>
              <w:rPr>
                <w:rFonts w:cstheme="minorHAnsi"/>
                <w:color w:val="000000" w:themeColor="text1"/>
                <w:sz w:val="18"/>
                <w:szCs w:val="18"/>
              </w:rPr>
            </w:pPr>
            <w:r w:rsidRPr="00AB2361">
              <w:rPr>
                <w:rFonts w:cstheme="minorHAnsi"/>
                <w:color w:val="000000" w:themeColor="text1"/>
                <w:sz w:val="18"/>
                <w:szCs w:val="18"/>
              </w:rPr>
              <w:t>In 2017 we added the following venues to the list of significant venues cited within our execution policy.  These venues were added to improve our ability to find liquidity in larger trade sizes in non-displayed venues.</w:t>
            </w:r>
          </w:p>
          <w:p w14:paraId="0B5A0F6C" w14:textId="77777777" w:rsidR="00AB2361" w:rsidRPr="00AB2361" w:rsidRDefault="00AB2361" w:rsidP="00AB2361">
            <w:pPr>
              <w:pStyle w:val="ListParagraph"/>
              <w:numPr>
                <w:ilvl w:val="0"/>
                <w:numId w:val="2"/>
              </w:numPr>
              <w:spacing w:after="120" w:line="240" w:lineRule="auto"/>
              <w:rPr>
                <w:rFonts w:cstheme="minorHAnsi"/>
                <w:color w:val="000000" w:themeColor="text1"/>
                <w:sz w:val="18"/>
                <w:szCs w:val="18"/>
              </w:rPr>
            </w:pPr>
            <w:r w:rsidRPr="00AB2361">
              <w:rPr>
                <w:rFonts w:cstheme="minorHAnsi"/>
                <w:color w:val="000000" w:themeColor="text1"/>
                <w:sz w:val="18"/>
                <w:szCs w:val="18"/>
              </w:rPr>
              <w:lastRenderedPageBreak/>
              <w:t xml:space="preserve">BATS Large in Scale </w:t>
            </w:r>
          </w:p>
          <w:p w14:paraId="0B5A0F6D" w14:textId="77777777" w:rsidR="00AB2361" w:rsidRPr="00AB2361" w:rsidRDefault="00AB2361" w:rsidP="00AB2361">
            <w:pPr>
              <w:pStyle w:val="ListParagraph"/>
              <w:numPr>
                <w:ilvl w:val="0"/>
                <w:numId w:val="2"/>
              </w:numPr>
              <w:spacing w:after="120" w:line="240" w:lineRule="auto"/>
              <w:rPr>
                <w:rFonts w:cstheme="minorHAnsi"/>
                <w:color w:val="000000" w:themeColor="text1"/>
                <w:sz w:val="18"/>
                <w:szCs w:val="18"/>
              </w:rPr>
            </w:pPr>
            <w:r w:rsidRPr="00AB2361">
              <w:rPr>
                <w:rFonts w:cstheme="minorHAnsi"/>
                <w:color w:val="000000" w:themeColor="text1"/>
                <w:sz w:val="18"/>
                <w:szCs w:val="18"/>
              </w:rPr>
              <w:t>BATS Periodic Auctions</w:t>
            </w:r>
          </w:p>
          <w:p w14:paraId="0B5A0F6E" w14:textId="77777777" w:rsidR="00AB2361" w:rsidRPr="00AB2361" w:rsidRDefault="00AB2361" w:rsidP="00AB2361">
            <w:pPr>
              <w:pStyle w:val="ListParagraph"/>
              <w:numPr>
                <w:ilvl w:val="0"/>
                <w:numId w:val="2"/>
              </w:numPr>
              <w:spacing w:after="120" w:line="240" w:lineRule="auto"/>
              <w:rPr>
                <w:rFonts w:cstheme="minorHAnsi"/>
                <w:color w:val="000000" w:themeColor="text1"/>
                <w:sz w:val="18"/>
                <w:szCs w:val="18"/>
              </w:rPr>
            </w:pPr>
            <w:r w:rsidRPr="00AB2361">
              <w:rPr>
                <w:rFonts w:cstheme="minorHAnsi"/>
                <w:color w:val="000000" w:themeColor="text1"/>
                <w:sz w:val="18"/>
                <w:szCs w:val="18"/>
              </w:rPr>
              <w:t>Liquidnet / Swiss Liquidnet Service</w:t>
            </w:r>
          </w:p>
          <w:p w14:paraId="0B5A0F6F" w14:textId="77777777" w:rsidR="00AB2361" w:rsidRPr="00AB2361" w:rsidRDefault="00AB2361" w:rsidP="00AB2361">
            <w:pPr>
              <w:spacing w:after="120"/>
              <w:rPr>
                <w:rFonts w:eastAsia="Calibri" w:cstheme="minorHAnsi"/>
                <w:color w:val="000000"/>
                <w:sz w:val="18"/>
                <w:szCs w:val="18"/>
              </w:rPr>
            </w:pPr>
          </w:p>
        </w:tc>
      </w:tr>
      <w:tr w:rsidR="00AB2361" w:rsidRPr="00D8585C" w14:paraId="0B5A0F73" w14:textId="77777777" w:rsidTr="00EE1980">
        <w:tc>
          <w:tcPr>
            <w:tcW w:w="4410" w:type="dxa"/>
            <w:shd w:val="clear" w:color="auto" w:fill="D9D9D9" w:themeFill="background1" w:themeFillShade="D9"/>
          </w:tcPr>
          <w:p w14:paraId="0B5A0F71" w14:textId="77777777" w:rsidR="00AB2361" w:rsidRPr="005B09B0" w:rsidRDefault="00AB2361" w:rsidP="00AB2361">
            <w:pPr>
              <w:rPr>
                <w:rFonts w:ascii="Calibri" w:eastAsia="Calibri" w:hAnsi="Calibri" w:cs="Times New Roman"/>
                <w:sz w:val="18"/>
                <w:szCs w:val="18"/>
              </w:rPr>
            </w:pPr>
            <w:r w:rsidRPr="005B09B0">
              <w:rPr>
                <w:rFonts w:ascii="Calibri" w:eastAsia="Calibri" w:hAnsi="Calibri" w:cs="Times New Roman"/>
                <w:sz w:val="18"/>
                <w:szCs w:val="18"/>
              </w:rPr>
              <w:lastRenderedPageBreak/>
              <w:t>Client distinctions</w:t>
            </w:r>
          </w:p>
        </w:tc>
        <w:tc>
          <w:tcPr>
            <w:tcW w:w="9990" w:type="dxa"/>
          </w:tcPr>
          <w:p w14:paraId="0B5A0F72" w14:textId="77777777" w:rsidR="00AB2361" w:rsidRPr="00D8585C" w:rsidRDefault="00AB2361" w:rsidP="00AB2361">
            <w:pPr>
              <w:spacing w:after="120"/>
              <w:rPr>
                <w:rFonts w:ascii="Calibri" w:eastAsia="Calibri" w:hAnsi="Calibri" w:cs="Times New Roman"/>
                <w:sz w:val="18"/>
                <w:szCs w:val="18"/>
              </w:rPr>
            </w:pPr>
            <w:r w:rsidRPr="00D8585C">
              <w:rPr>
                <w:sz w:val="18"/>
                <w:szCs w:val="18"/>
              </w:rPr>
              <w:t>We do not operate differing execution arrangements by client categorisation.</w:t>
            </w:r>
          </w:p>
        </w:tc>
      </w:tr>
      <w:tr w:rsidR="00AB2361" w:rsidRPr="005B09B0" w14:paraId="0B5A0F79" w14:textId="77777777" w:rsidTr="00EE1980">
        <w:tc>
          <w:tcPr>
            <w:tcW w:w="4410" w:type="dxa"/>
            <w:shd w:val="clear" w:color="auto" w:fill="D9D9D9" w:themeFill="background1" w:themeFillShade="D9"/>
          </w:tcPr>
          <w:p w14:paraId="0B5A0F74" w14:textId="77777777" w:rsidR="00AB2361" w:rsidRPr="005B09B0" w:rsidRDefault="00AB2361" w:rsidP="00AB2361">
            <w:pPr>
              <w:rPr>
                <w:rFonts w:ascii="Calibri" w:eastAsia="Calibri" w:hAnsi="Calibri" w:cs="Times New Roman"/>
                <w:sz w:val="18"/>
                <w:szCs w:val="18"/>
              </w:rPr>
            </w:pPr>
            <w:r w:rsidRPr="005B09B0">
              <w:rPr>
                <w:rFonts w:ascii="Calibri" w:eastAsia="Calibri" w:hAnsi="Calibri" w:cs="Times New Roman"/>
                <w:sz w:val="18"/>
                <w:szCs w:val="18"/>
              </w:rPr>
              <w:t>Use of data/tools relating to the quality of execution</w:t>
            </w:r>
          </w:p>
          <w:p w14:paraId="0B5A0F76" w14:textId="77777777" w:rsidR="00AB2361" w:rsidRPr="005B09B0" w:rsidRDefault="00AB2361" w:rsidP="00AB2361">
            <w:pPr>
              <w:rPr>
                <w:rFonts w:ascii="Calibri" w:eastAsia="Calibri" w:hAnsi="Calibri" w:cs="Times New Roman"/>
                <w:sz w:val="18"/>
                <w:szCs w:val="18"/>
              </w:rPr>
            </w:pPr>
          </w:p>
        </w:tc>
        <w:tc>
          <w:tcPr>
            <w:tcW w:w="9990" w:type="dxa"/>
          </w:tcPr>
          <w:p w14:paraId="0B5A0F78" w14:textId="0F7C2457" w:rsidR="00AB2361" w:rsidRPr="005B09B0" w:rsidRDefault="00AB2361" w:rsidP="00AB2361">
            <w:pPr>
              <w:spacing w:after="120"/>
              <w:rPr>
                <w:rFonts w:ascii="Calibri" w:eastAsia="Calibri" w:hAnsi="Calibri" w:cs="Times New Roman"/>
                <w:sz w:val="18"/>
                <w:szCs w:val="18"/>
              </w:rPr>
            </w:pPr>
            <w:r w:rsidRPr="00D8585C">
              <w:rPr>
                <w:rFonts w:ascii="Calibri" w:eastAsia="Calibri" w:hAnsi="Calibri" w:cs="Times New Roman"/>
                <w:sz w:val="18"/>
                <w:szCs w:val="18"/>
              </w:rPr>
              <w:t>We have used group-level transaction cost analysis technology in our analysis.</w:t>
            </w:r>
          </w:p>
        </w:tc>
      </w:tr>
      <w:tr w:rsidR="00AB2361" w:rsidRPr="005B09B0" w14:paraId="0B5A0F7C" w14:textId="77777777" w:rsidTr="00EE1980">
        <w:tc>
          <w:tcPr>
            <w:tcW w:w="4410" w:type="dxa"/>
            <w:shd w:val="clear" w:color="auto" w:fill="D9D9D9" w:themeFill="background1" w:themeFillShade="D9"/>
          </w:tcPr>
          <w:p w14:paraId="0B5A0F7A" w14:textId="77777777" w:rsidR="00AB2361" w:rsidRPr="005B09B0" w:rsidRDefault="00AB2361" w:rsidP="00AB2361">
            <w:pPr>
              <w:rPr>
                <w:rFonts w:ascii="Calibri" w:eastAsia="Calibri" w:hAnsi="Calibri" w:cs="Times New Roman"/>
                <w:sz w:val="18"/>
                <w:szCs w:val="18"/>
              </w:rPr>
            </w:pPr>
            <w:r w:rsidRPr="005B09B0">
              <w:rPr>
                <w:rFonts w:ascii="Calibri" w:eastAsia="Calibri" w:hAnsi="Calibri" w:cs="Times New Roman"/>
                <w:sz w:val="18"/>
                <w:szCs w:val="18"/>
              </w:rPr>
              <w:t>Use of consolidated tape provider output or other algorithms to assess execution performances</w:t>
            </w:r>
          </w:p>
        </w:tc>
        <w:tc>
          <w:tcPr>
            <w:tcW w:w="9990" w:type="dxa"/>
          </w:tcPr>
          <w:p w14:paraId="0B5A0F7B" w14:textId="77777777" w:rsidR="00AB2361" w:rsidRPr="005B09B0" w:rsidRDefault="00AB2361" w:rsidP="00AB2361">
            <w:pPr>
              <w:spacing w:after="120"/>
              <w:rPr>
                <w:rFonts w:ascii="Calibri" w:eastAsia="Calibri" w:hAnsi="Calibri" w:cs="Times New Roman"/>
                <w:sz w:val="18"/>
                <w:szCs w:val="18"/>
              </w:rPr>
            </w:pPr>
            <w:r>
              <w:rPr>
                <w:rFonts w:ascii="Calibri" w:eastAsia="Calibri" w:hAnsi="Calibri" w:cs="Times New Roman"/>
                <w:sz w:val="18"/>
                <w:szCs w:val="18"/>
              </w:rPr>
              <w:t>Not Applicable</w:t>
            </w:r>
          </w:p>
        </w:tc>
      </w:tr>
    </w:tbl>
    <w:p w14:paraId="0B5A0F7D" w14:textId="77777777" w:rsidR="000B7F7D" w:rsidRDefault="000B7F7D" w:rsidP="000B7F7D"/>
    <w:p w14:paraId="0B5A0F7E" w14:textId="77777777" w:rsidR="000B7F7D" w:rsidRDefault="000B7F7D" w:rsidP="000B7F7D"/>
    <w:p w14:paraId="0B5A0F7F" w14:textId="77777777" w:rsidR="000B7F7D" w:rsidRDefault="000B7F7D" w:rsidP="000B7F7D"/>
    <w:p w14:paraId="0B5A0F80" w14:textId="77777777" w:rsidR="000B7F7D" w:rsidRDefault="000B7F7D" w:rsidP="000B7F7D"/>
    <w:p w14:paraId="0B5A0F81" w14:textId="77777777" w:rsidR="000B7F7D" w:rsidRDefault="000B7F7D" w:rsidP="000B7F7D"/>
    <w:p w14:paraId="0B5A0F82" w14:textId="77777777" w:rsidR="000B7F7D" w:rsidRDefault="000B7F7D" w:rsidP="000B7F7D"/>
    <w:p w14:paraId="0B5A0F83" w14:textId="77777777" w:rsidR="000B7F7D" w:rsidRDefault="000B7F7D" w:rsidP="000B7F7D"/>
    <w:p w14:paraId="0B5A0F84" w14:textId="77777777" w:rsidR="000B7F7D" w:rsidRDefault="000B7F7D" w:rsidP="000B7F7D"/>
    <w:p w14:paraId="0B5A0F85" w14:textId="77777777" w:rsidR="000B7F7D" w:rsidRDefault="000B7F7D" w:rsidP="000B7F7D"/>
    <w:p w14:paraId="0B5A0F86" w14:textId="77777777" w:rsidR="000B7F7D" w:rsidRDefault="000B7F7D" w:rsidP="000B7F7D"/>
    <w:p w14:paraId="0B5A0F87" w14:textId="77777777" w:rsidR="000B7F7D" w:rsidRDefault="000B7F7D" w:rsidP="000B7F7D"/>
    <w:p w14:paraId="0B5A0F88" w14:textId="77777777" w:rsidR="000B7F7D" w:rsidRDefault="000B7F7D" w:rsidP="000B7F7D"/>
    <w:p w14:paraId="0B5A0F89" w14:textId="77777777" w:rsidR="000B7F7D" w:rsidRDefault="000B7F7D" w:rsidP="000B7F7D"/>
    <w:p w14:paraId="0B5A0F8A" w14:textId="77777777" w:rsidR="000B7F7D" w:rsidRDefault="000B7F7D" w:rsidP="000B7F7D"/>
    <w:p w14:paraId="0B5A0F8B" w14:textId="77777777" w:rsidR="000B7F7D" w:rsidRDefault="000B7F7D" w:rsidP="000B7F7D"/>
    <w:p w14:paraId="65E98E55" w14:textId="77777777" w:rsidR="000A552A" w:rsidRDefault="000A552A" w:rsidP="000B7F7D">
      <w:bookmarkStart w:id="0" w:name="_GoBack"/>
      <w:bookmarkEnd w:id="0"/>
    </w:p>
    <w:tbl>
      <w:tblPr>
        <w:tblStyle w:val="TableGrid"/>
        <w:tblW w:w="14400" w:type="dxa"/>
        <w:tblInd w:w="468" w:type="dxa"/>
        <w:tblLook w:val="04A0" w:firstRow="1" w:lastRow="0" w:firstColumn="1" w:lastColumn="0" w:noHBand="0" w:noVBand="1"/>
      </w:tblPr>
      <w:tblGrid>
        <w:gridCol w:w="4410"/>
        <w:gridCol w:w="9990"/>
      </w:tblGrid>
      <w:tr w:rsidR="000B7F7D" w:rsidRPr="003C48D4" w14:paraId="0B5A0F8E"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8C" w14:textId="77777777" w:rsidR="000B7F7D" w:rsidRPr="003C48D4" w:rsidRDefault="000B7F7D"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0F8D" w14:textId="77777777" w:rsidR="000B7F7D" w:rsidRDefault="000B7F7D" w:rsidP="00EE1980">
            <w:pPr>
              <w:rPr>
                <w:sz w:val="18"/>
                <w:szCs w:val="18"/>
              </w:rPr>
            </w:pPr>
            <w:r w:rsidRPr="006113D7">
              <w:rPr>
                <w:sz w:val="18"/>
                <w:szCs w:val="18"/>
              </w:rPr>
              <w:t xml:space="preserve">J.P. Morgan Securities PLC </w:t>
            </w:r>
            <w:r>
              <w:rPr>
                <w:sz w:val="18"/>
                <w:szCs w:val="18"/>
              </w:rPr>
              <w:t>(</w:t>
            </w:r>
            <w:r w:rsidRPr="006113D7">
              <w:rPr>
                <w:sz w:val="18"/>
                <w:szCs w:val="18"/>
              </w:rPr>
              <w:t>K6Q0W1PS1L1O4IQL9C32</w:t>
            </w:r>
            <w:r>
              <w:rPr>
                <w:sz w:val="18"/>
                <w:szCs w:val="18"/>
              </w:rPr>
              <w:t>)</w:t>
            </w:r>
          </w:p>
        </w:tc>
      </w:tr>
      <w:tr w:rsidR="000B7F7D" w:rsidRPr="003C48D4" w14:paraId="0B5A0F91"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8F" w14:textId="77777777" w:rsidR="000B7F7D" w:rsidRPr="003C48D4" w:rsidRDefault="000B7F7D"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0F90" w14:textId="77777777" w:rsidR="000B7F7D" w:rsidRPr="003C48D4" w:rsidRDefault="000B7F7D" w:rsidP="00EE1980">
            <w:pPr>
              <w:rPr>
                <w:color w:val="0000FF"/>
                <w:sz w:val="18"/>
                <w:szCs w:val="18"/>
              </w:rPr>
            </w:pPr>
            <w:r>
              <w:rPr>
                <w:sz w:val="18"/>
                <w:szCs w:val="18"/>
              </w:rPr>
              <w:t>Credit Derivatives: Other credit derivatives</w:t>
            </w:r>
          </w:p>
        </w:tc>
      </w:tr>
      <w:tr w:rsidR="000B7F7D" w:rsidRPr="003C48D4" w14:paraId="0B5A0F93"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0F92" w14:textId="77777777" w:rsidR="000B7F7D" w:rsidRPr="003C48D4" w:rsidRDefault="000B7F7D" w:rsidP="00EE1980">
            <w:pPr>
              <w:jc w:val="center"/>
              <w:rPr>
                <w:sz w:val="18"/>
                <w:szCs w:val="18"/>
              </w:rPr>
            </w:pPr>
            <w:r w:rsidRPr="003C48D4">
              <w:rPr>
                <w:sz w:val="18"/>
                <w:szCs w:val="18"/>
              </w:rPr>
              <w:t>Summary of Analysis</w:t>
            </w:r>
          </w:p>
        </w:tc>
      </w:tr>
      <w:tr w:rsidR="000B7F7D" w:rsidRPr="003C48D4" w14:paraId="0B5A0F98" w14:textId="77777777" w:rsidTr="00EE1980">
        <w:tc>
          <w:tcPr>
            <w:tcW w:w="14400" w:type="dxa"/>
            <w:gridSpan w:val="2"/>
            <w:tcBorders>
              <w:left w:val="single" w:sz="12" w:space="0" w:color="auto"/>
              <w:right w:val="single" w:sz="12" w:space="0" w:color="auto"/>
            </w:tcBorders>
          </w:tcPr>
          <w:p w14:paraId="0B5A0F94" w14:textId="77777777" w:rsidR="000B7F7D" w:rsidRPr="008E5DBB" w:rsidRDefault="000B7F7D" w:rsidP="00EE1980">
            <w:pPr>
              <w:rPr>
                <w:sz w:val="18"/>
                <w:szCs w:val="18"/>
              </w:rPr>
            </w:pPr>
            <w:r w:rsidRPr="008E5DBB">
              <w:rPr>
                <w:sz w:val="18"/>
                <w:szCs w:val="18"/>
              </w:rPr>
              <w:t xml:space="preserve">The products that have been subject to Best Execution under Credit Derivatives are products falling under the Relevant Structured Products section of Appendix 5 to the J.P. Morgan Execution Policy. Due to the nature of J.P. Morgan Securities PLC’s business, it owed Best Execution in limited circumstances for Credit Derivatives. </w:t>
            </w:r>
          </w:p>
          <w:p w14:paraId="0B5A0F95" w14:textId="77777777" w:rsidR="000B7F7D" w:rsidRPr="008E5DBB" w:rsidRDefault="000B7F7D" w:rsidP="00EE1980">
            <w:pPr>
              <w:rPr>
                <w:sz w:val="18"/>
                <w:szCs w:val="18"/>
              </w:rPr>
            </w:pPr>
          </w:p>
          <w:p w14:paraId="0B5A0F96" w14:textId="77777777" w:rsidR="000B7F7D" w:rsidRPr="008E5DBB" w:rsidRDefault="000B7F7D" w:rsidP="00EE1980">
            <w:pPr>
              <w:rPr>
                <w:sz w:val="18"/>
                <w:szCs w:val="18"/>
              </w:rPr>
            </w:pPr>
            <w:r w:rsidRPr="008E5DBB">
              <w:rPr>
                <w:sz w:val="18"/>
                <w:szCs w:val="18"/>
              </w:rPr>
              <w:t xml:space="preserve">In the year 2017, this review found that obligation of Best Execution was met in each case.  The application was monitored by J.P. Morgan Securities PLC on a regular basis, through post-trade controls performed independently by control-related functions. This monitoring identified execution situations which were potentially subject to Best Execution and also monitored the correct application of the decision making process. </w:t>
            </w:r>
          </w:p>
          <w:p w14:paraId="0B5A0F97" w14:textId="77777777" w:rsidR="000B7F7D" w:rsidRPr="008E5DBB" w:rsidRDefault="000B7F7D" w:rsidP="00EE1980">
            <w:pPr>
              <w:rPr>
                <w:sz w:val="18"/>
                <w:szCs w:val="18"/>
              </w:rPr>
            </w:pPr>
          </w:p>
        </w:tc>
      </w:tr>
      <w:tr w:rsidR="000B7F7D" w:rsidRPr="003C48D4" w14:paraId="0B5A0F9B" w14:textId="77777777" w:rsidTr="00EE1980">
        <w:tc>
          <w:tcPr>
            <w:tcW w:w="4410" w:type="dxa"/>
            <w:tcBorders>
              <w:left w:val="single" w:sz="12" w:space="0" w:color="auto"/>
            </w:tcBorders>
            <w:shd w:val="clear" w:color="auto" w:fill="D9D9D9" w:themeFill="background1" w:themeFillShade="D9"/>
          </w:tcPr>
          <w:p w14:paraId="0B5A0F99" w14:textId="77777777" w:rsidR="000B7F7D" w:rsidRPr="008E5DBB" w:rsidRDefault="000B7F7D" w:rsidP="00EE1980">
            <w:pPr>
              <w:rPr>
                <w:sz w:val="18"/>
                <w:szCs w:val="18"/>
              </w:rPr>
            </w:pPr>
            <w:r w:rsidRPr="008E5DBB">
              <w:rPr>
                <w:sz w:val="18"/>
                <w:szCs w:val="18"/>
              </w:rPr>
              <w:t>Relative importance given to execution factors &amp; other considerations</w:t>
            </w:r>
          </w:p>
        </w:tc>
        <w:tc>
          <w:tcPr>
            <w:tcW w:w="9990" w:type="dxa"/>
            <w:tcBorders>
              <w:right w:val="single" w:sz="12" w:space="0" w:color="auto"/>
            </w:tcBorders>
          </w:tcPr>
          <w:p w14:paraId="0B5A0F9A" w14:textId="77777777" w:rsidR="000B7F7D" w:rsidRPr="008E5DBB" w:rsidRDefault="000B7F7D" w:rsidP="007C6493">
            <w:pPr>
              <w:spacing w:after="120"/>
              <w:jc w:val="both"/>
              <w:rPr>
                <w:i/>
                <w:sz w:val="18"/>
                <w:szCs w:val="18"/>
              </w:rPr>
            </w:pPr>
            <w:r w:rsidRPr="008E5DBB">
              <w:rPr>
                <w:sz w:val="18"/>
                <w:szCs w:val="18"/>
              </w:rPr>
              <w:t>The importance given in situations in which J.P. Morgan Securities PLC owes best execution is set out under the Relevant Structured Products section of Appendix 5 to the J.P. Morgan Execution Policy</w:t>
            </w:r>
            <w:r w:rsidR="00732D0F">
              <w:rPr>
                <w:sz w:val="18"/>
                <w:szCs w:val="18"/>
              </w:rPr>
              <w:t>. The most important factor is p</w:t>
            </w:r>
            <w:r w:rsidRPr="008E5DBB">
              <w:rPr>
                <w:sz w:val="18"/>
                <w:szCs w:val="18"/>
              </w:rPr>
              <w:t xml:space="preserve">rice, followed by </w:t>
            </w:r>
            <w:r w:rsidR="007C6493">
              <w:rPr>
                <w:sz w:val="18"/>
                <w:szCs w:val="18"/>
              </w:rPr>
              <w:t>s</w:t>
            </w:r>
            <w:r w:rsidR="007C6493" w:rsidRPr="008E5DBB">
              <w:rPr>
                <w:sz w:val="18"/>
                <w:szCs w:val="18"/>
              </w:rPr>
              <w:t xml:space="preserve">peed </w:t>
            </w:r>
            <w:r w:rsidRPr="008E5DBB">
              <w:rPr>
                <w:sz w:val="18"/>
                <w:szCs w:val="18"/>
              </w:rPr>
              <w:t xml:space="preserve">and then likelihood of execution. </w:t>
            </w:r>
          </w:p>
        </w:tc>
      </w:tr>
      <w:tr w:rsidR="000B7F7D" w:rsidRPr="003C48D4" w14:paraId="0B5A0F9E" w14:textId="77777777" w:rsidTr="00EE1980">
        <w:tc>
          <w:tcPr>
            <w:tcW w:w="4410" w:type="dxa"/>
            <w:tcBorders>
              <w:left w:val="single" w:sz="12" w:space="0" w:color="auto"/>
            </w:tcBorders>
            <w:shd w:val="clear" w:color="auto" w:fill="D9D9D9" w:themeFill="background1" w:themeFillShade="D9"/>
          </w:tcPr>
          <w:p w14:paraId="0B5A0F9C" w14:textId="77777777" w:rsidR="000B7F7D" w:rsidRPr="008E5DBB" w:rsidRDefault="000B7F7D" w:rsidP="00EE1980">
            <w:pPr>
              <w:rPr>
                <w:sz w:val="18"/>
                <w:szCs w:val="18"/>
              </w:rPr>
            </w:pPr>
            <w:r w:rsidRPr="008E5DBB">
              <w:rPr>
                <w:sz w:val="18"/>
                <w:szCs w:val="18"/>
              </w:rPr>
              <w:t>Execution venue close links / conflicts of interest / common ownerships</w:t>
            </w:r>
          </w:p>
        </w:tc>
        <w:tc>
          <w:tcPr>
            <w:tcW w:w="9990" w:type="dxa"/>
            <w:tcBorders>
              <w:right w:val="single" w:sz="12" w:space="0" w:color="auto"/>
            </w:tcBorders>
          </w:tcPr>
          <w:p w14:paraId="0B5A0F9D" w14:textId="77777777" w:rsidR="000B7F7D" w:rsidRPr="008E5DBB" w:rsidRDefault="000B7F7D" w:rsidP="00EE1980">
            <w:pPr>
              <w:rPr>
                <w:i/>
                <w:sz w:val="18"/>
                <w:szCs w:val="18"/>
              </w:rPr>
            </w:pPr>
            <w:r w:rsidRPr="008E5DBB">
              <w:rPr>
                <w:sz w:val="18"/>
                <w:szCs w:val="18"/>
              </w:rPr>
              <w:t>J.P. Morgan Securities PLC is a fully owned subsidiary of J.P. Morgan Chase &amp; Co.</w:t>
            </w:r>
          </w:p>
        </w:tc>
      </w:tr>
      <w:tr w:rsidR="000B7F7D" w:rsidRPr="003C48D4" w14:paraId="0B5A0FA1" w14:textId="77777777" w:rsidTr="00EE1980">
        <w:tc>
          <w:tcPr>
            <w:tcW w:w="4410" w:type="dxa"/>
            <w:tcBorders>
              <w:left w:val="single" w:sz="12" w:space="0" w:color="auto"/>
            </w:tcBorders>
            <w:shd w:val="clear" w:color="auto" w:fill="D9D9D9" w:themeFill="background1" w:themeFillShade="D9"/>
          </w:tcPr>
          <w:p w14:paraId="0B5A0F9F" w14:textId="77777777" w:rsidR="000B7F7D" w:rsidRPr="008E5DBB" w:rsidRDefault="000B7F7D" w:rsidP="00EE1980">
            <w:pPr>
              <w:rPr>
                <w:sz w:val="18"/>
                <w:szCs w:val="18"/>
              </w:rPr>
            </w:pPr>
            <w:r w:rsidRPr="008E5DBB">
              <w:rPr>
                <w:sz w:val="18"/>
                <w:szCs w:val="18"/>
              </w:rPr>
              <w:t>Specific execution venue arrangements</w:t>
            </w:r>
          </w:p>
        </w:tc>
        <w:tc>
          <w:tcPr>
            <w:tcW w:w="9990" w:type="dxa"/>
            <w:tcBorders>
              <w:right w:val="single" w:sz="12" w:space="0" w:color="auto"/>
            </w:tcBorders>
          </w:tcPr>
          <w:p w14:paraId="0B5A0FA0" w14:textId="77777777" w:rsidR="000B7F7D" w:rsidRPr="008E5DBB" w:rsidRDefault="000B7F7D" w:rsidP="00EE1980">
            <w:pPr>
              <w:rPr>
                <w:i/>
                <w:sz w:val="18"/>
                <w:szCs w:val="18"/>
              </w:rPr>
            </w:pPr>
            <w:r w:rsidRPr="008E5DBB">
              <w:rPr>
                <w:sz w:val="18"/>
                <w:szCs w:val="18"/>
              </w:rPr>
              <w:t xml:space="preserve">J.P. Morgan Securities PLC is the sole execution venue. </w:t>
            </w:r>
          </w:p>
        </w:tc>
      </w:tr>
      <w:tr w:rsidR="000B7F7D" w:rsidRPr="003C48D4" w14:paraId="0B5A0FA4" w14:textId="77777777" w:rsidTr="00EE1980">
        <w:trPr>
          <w:trHeight w:val="368"/>
        </w:trPr>
        <w:tc>
          <w:tcPr>
            <w:tcW w:w="4410" w:type="dxa"/>
            <w:tcBorders>
              <w:left w:val="single" w:sz="12" w:space="0" w:color="auto"/>
            </w:tcBorders>
            <w:shd w:val="clear" w:color="auto" w:fill="D9D9D9" w:themeFill="background1" w:themeFillShade="D9"/>
          </w:tcPr>
          <w:p w14:paraId="0B5A0FA2" w14:textId="77777777" w:rsidR="000B7F7D" w:rsidRPr="008E5DBB" w:rsidRDefault="000B7F7D" w:rsidP="00EE1980">
            <w:pPr>
              <w:rPr>
                <w:sz w:val="18"/>
                <w:szCs w:val="18"/>
              </w:rPr>
            </w:pPr>
            <w:r w:rsidRPr="008E5DBB">
              <w:rPr>
                <w:sz w:val="18"/>
                <w:szCs w:val="18"/>
              </w:rPr>
              <w:t>Changes to execution venues</w:t>
            </w:r>
          </w:p>
        </w:tc>
        <w:tc>
          <w:tcPr>
            <w:tcW w:w="9990" w:type="dxa"/>
            <w:tcBorders>
              <w:right w:val="single" w:sz="12" w:space="0" w:color="auto"/>
            </w:tcBorders>
          </w:tcPr>
          <w:p w14:paraId="0B5A0FA3" w14:textId="77777777" w:rsidR="000B7F7D" w:rsidRPr="008E5DBB" w:rsidRDefault="000B7F7D" w:rsidP="00EE1980">
            <w:pPr>
              <w:spacing w:after="120"/>
              <w:rPr>
                <w:i/>
                <w:sz w:val="18"/>
                <w:szCs w:val="18"/>
              </w:rPr>
            </w:pPr>
            <w:r w:rsidRPr="008E5DBB">
              <w:rPr>
                <w:sz w:val="18"/>
                <w:szCs w:val="18"/>
              </w:rPr>
              <w:t>Not Applicable</w:t>
            </w:r>
          </w:p>
        </w:tc>
      </w:tr>
      <w:tr w:rsidR="000B7F7D" w:rsidRPr="003C48D4" w14:paraId="0B5A0FA7" w14:textId="77777777" w:rsidTr="00EE1980">
        <w:tc>
          <w:tcPr>
            <w:tcW w:w="4410" w:type="dxa"/>
            <w:tcBorders>
              <w:left w:val="single" w:sz="12" w:space="0" w:color="auto"/>
            </w:tcBorders>
            <w:shd w:val="clear" w:color="auto" w:fill="D9D9D9" w:themeFill="background1" w:themeFillShade="D9"/>
          </w:tcPr>
          <w:p w14:paraId="0B5A0FA5" w14:textId="77777777" w:rsidR="000B7F7D" w:rsidRPr="008E5DBB" w:rsidRDefault="000B7F7D" w:rsidP="00EE1980">
            <w:pPr>
              <w:rPr>
                <w:sz w:val="18"/>
                <w:szCs w:val="18"/>
              </w:rPr>
            </w:pPr>
            <w:r w:rsidRPr="008E5DBB">
              <w:rPr>
                <w:sz w:val="18"/>
                <w:szCs w:val="18"/>
              </w:rPr>
              <w:t>Client distinctions</w:t>
            </w:r>
          </w:p>
        </w:tc>
        <w:tc>
          <w:tcPr>
            <w:tcW w:w="9990" w:type="dxa"/>
            <w:tcBorders>
              <w:right w:val="single" w:sz="12" w:space="0" w:color="auto"/>
            </w:tcBorders>
          </w:tcPr>
          <w:p w14:paraId="0B5A0FA6" w14:textId="77777777" w:rsidR="000B7F7D" w:rsidRPr="008E5DBB" w:rsidRDefault="000B7F7D" w:rsidP="00EE1980">
            <w:pPr>
              <w:spacing w:after="120"/>
              <w:rPr>
                <w:i/>
                <w:sz w:val="18"/>
                <w:szCs w:val="18"/>
              </w:rPr>
            </w:pPr>
            <w:r w:rsidRPr="008E5DBB">
              <w:rPr>
                <w:sz w:val="18"/>
                <w:szCs w:val="18"/>
              </w:rPr>
              <w:t xml:space="preserve">J.P. Morgan Securities PLC only deals with Professional clients for the purposes of Best Execution.  </w:t>
            </w:r>
          </w:p>
        </w:tc>
      </w:tr>
      <w:tr w:rsidR="000B7F7D" w:rsidRPr="003C48D4" w14:paraId="0B5A0FAA" w14:textId="77777777" w:rsidTr="00EE1980">
        <w:tc>
          <w:tcPr>
            <w:tcW w:w="4410" w:type="dxa"/>
            <w:tcBorders>
              <w:left w:val="single" w:sz="12" w:space="0" w:color="auto"/>
            </w:tcBorders>
            <w:shd w:val="clear" w:color="auto" w:fill="D9D9D9" w:themeFill="background1" w:themeFillShade="D9"/>
          </w:tcPr>
          <w:p w14:paraId="0B5A0FA8" w14:textId="77777777" w:rsidR="000B7F7D" w:rsidRPr="008E5DBB" w:rsidRDefault="000B7F7D" w:rsidP="00EE1980">
            <w:pPr>
              <w:rPr>
                <w:sz w:val="18"/>
                <w:szCs w:val="18"/>
              </w:rPr>
            </w:pPr>
            <w:r w:rsidRPr="008E5DBB">
              <w:rPr>
                <w:sz w:val="18"/>
                <w:szCs w:val="18"/>
              </w:rPr>
              <w:t>Use of data/tools relating to the quality of execution</w:t>
            </w:r>
          </w:p>
        </w:tc>
        <w:tc>
          <w:tcPr>
            <w:tcW w:w="9990" w:type="dxa"/>
            <w:tcBorders>
              <w:right w:val="single" w:sz="12" w:space="0" w:color="auto"/>
            </w:tcBorders>
          </w:tcPr>
          <w:p w14:paraId="0B5A0FA9" w14:textId="77777777" w:rsidR="000B7F7D" w:rsidRPr="008E5DBB" w:rsidRDefault="000B7F7D" w:rsidP="00EE1980">
            <w:pPr>
              <w:spacing w:after="120"/>
              <w:rPr>
                <w:i/>
                <w:sz w:val="18"/>
                <w:szCs w:val="18"/>
              </w:rPr>
            </w:pPr>
            <w:r w:rsidRPr="008E5DBB">
              <w:rPr>
                <w:sz w:val="18"/>
                <w:szCs w:val="18"/>
              </w:rPr>
              <w:t xml:space="preserve">Not Applicable </w:t>
            </w:r>
          </w:p>
        </w:tc>
      </w:tr>
      <w:tr w:rsidR="000B7F7D" w:rsidRPr="003C48D4" w14:paraId="0B5A0FAD" w14:textId="77777777" w:rsidTr="00EE1980">
        <w:tc>
          <w:tcPr>
            <w:tcW w:w="4410" w:type="dxa"/>
            <w:tcBorders>
              <w:left w:val="single" w:sz="12" w:space="0" w:color="auto"/>
              <w:bottom w:val="single" w:sz="12" w:space="0" w:color="auto"/>
            </w:tcBorders>
            <w:shd w:val="clear" w:color="auto" w:fill="D9D9D9" w:themeFill="background1" w:themeFillShade="D9"/>
          </w:tcPr>
          <w:p w14:paraId="0B5A0FAB" w14:textId="77777777" w:rsidR="000B7F7D" w:rsidRPr="008E5DBB" w:rsidRDefault="000B7F7D" w:rsidP="00EE1980">
            <w:pPr>
              <w:rPr>
                <w:sz w:val="18"/>
                <w:szCs w:val="18"/>
              </w:rPr>
            </w:pPr>
            <w:r w:rsidRPr="008E5DB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0FAC" w14:textId="77777777" w:rsidR="000B7F7D" w:rsidRPr="008E5DBB" w:rsidRDefault="000B7F7D" w:rsidP="00EE1980">
            <w:pPr>
              <w:spacing w:after="120"/>
              <w:rPr>
                <w:i/>
                <w:sz w:val="18"/>
                <w:szCs w:val="18"/>
              </w:rPr>
            </w:pPr>
            <w:r w:rsidRPr="008E5DBB">
              <w:rPr>
                <w:sz w:val="18"/>
                <w:szCs w:val="18"/>
              </w:rPr>
              <w:t>Not Applicable</w:t>
            </w:r>
          </w:p>
        </w:tc>
      </w:tr>
    </w:tbl>
    <w:p w14:paraId="0B5A0FAE" w14:textId="77777777" w:rsidR="000B7F7D" w:rsidRDefault="000B7F7D" w:rsidP="000B7F7D"/>
    <w:p w14:paraId="0B5A0FAF" w14:textId="77777777" w:rsidR="000B7F7D" w:rsidRDefault="000B7F7D" w:rsidP="000B7F7D"/>
    <w:p w14:paraId="0B5A0FB0" w14:textId="77777777" w:rsidR="000B7F7D" w:rsidRDefault="000B7F7D" w:rsidP="000B7F7D"/>
    <w:p w14:paraId="0B5A0FB1" w14:textId="77777777" w:rsidR="000B7F7D" w:rsidRDefault="000B7F7D" w:rsidP="000B7F7D"/>
    <w:p w14:paraId="0B5A0FB2" w14:textId="77777777" w:rsidR="000B7F7D" w:rsidRDefault="000B7F7D" w:rsidP="000B7F7D"/>
    <w:p w14:paraId="0B5A0FB3" w14:textId="77777777" w:rsidR="000B7F7D" w:rsidRDefault="000B7F7D" w:rsidP="000B7F7D"/>
    <w:p w14:paraId="0B5A0FB4" w14:textId="77777777" w:rsidR="000B7F7D" w:rsidRDefault="000B7F7D" w:rsidP="000B7F7D"/>
    <w:p w14:paraId="0B5A0FB5" w14:textId="77777777" w:rsidR="000B7F7D" w:rsidRDefault="000B7F7D" w:rsidP="000B7F7D"/>
    <w:p w14:paraId="0B5A0FB6" w14:textId="77777777" w:rsidR="000B7F7D" w:rsidRDefault="000B7F7D" w:rsidP="000B7F7D"/>
    <w:p w14:paraId="0B5A0FB7" w14:textId="77777777" w:rsidR="000B7F7D" w:rsidRDefault="000B7F7D" w:rsidP="000B7F7D"/>
    <w:tbl>
      <w:tblPr>
        <w:tblStyle w:val="TableGrid"/>
        <w:tblW w:w="14400" w:type="dxa"/>
        <w:tblInd w:w="468" w:type="dxa"/>
        <w:tblLook w:val="04A0" w:firstRow="1" w:lastRow="0" w:firstColumn="1" w:lastColumn="0" w:noHBand="0" w:noVBand="1"/>
      </w:tblPr>
      <w:tblGrid>
        <w:gridCol w:w="4410"/>
        <w:gridCol w:w="9990"/>
      </w:tblGrid>
      <w:tr w:rsidR="000B7F7D" w:rsidRPr="003C48D4" w14:paraId="0B5A0FBA"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B8" w14:textId="77777777" w:rsidR="000B7F7D" w:rsidRPr="003C48D4" w:rsidRDefault="000B7F7D"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0FB9" w14:textId="77777777" w:rsidR="000B7F7D" w:rsidRDefault="000B7F7D" w:rsidP="00EE1980">
            <w:pPr>
              <w:spacing w:after="120"/>
              <w:jc w:val="both"/>
              <w:rPr>
                <w:sz w:val="19"/>
                <w:szCs w:val="19"/>
              </w:rPr>
            </w:pPr>
            <w:r w:rsidRPr="00963B3E">
              <w:rPr>
                <w:sz w:val="18"/>
                <w:szCs w:val="19"/>
              </w:rPr>
              <w:t>J.P. Morgan Securities PLC (K6Q0W1PS1L1O4IQL9C32)</w:t>
            </w:r>
          </w:p>
        </w:tc>
      </w:tr>
      <w:tr w:rsidR="000B7F7D" w:rsidRPr="003C48D4" w14:paraId="0B5A0FBD"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BB" w14:textId="77777777" w:rsidR="000B7F7D" w:rsidRPr="003C48D4" w:rsidRDefault="000B7F7D"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0FBC" w14:textId="77777777" w:rsidR="000B7F7D" w:rsidRPr="003C48D4" w:rsidRDefault="000B7F7D" w:rsidP="00EE1980">
            <w:pPr>
              <w:spacing w:after="120"/>
              <w:jc w:val="both"/>
              <w:rPr>
                <w:color w:val="0000FF"/>
                <w:sz w:val="18"/>
                <w:szCs w:val="18"/>
              </w:rPr>
            </w:pPr>
            <w:r w:rsidRPr="00963B3E">
              <w:rPr>
                <w:sz w:val="18"/>
                <w:szCs w:val="19"/>
              </w:rPr>
              <w:t>Currency Derivatives: Swaps, forwards, and other currency derivatives</w:t>
            </w:r>
          </w:p>
        </w:tc>
      </w:tr>
      <w:tr w:rsidR="000B7F7D" w:rsidRPr="003C48D4" w14:paraId="0B5A0FBF"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0FBE" w14:textId="77777777" w:rsidR="000B7F7D" w:rsidRPr="003C48D4" w:rsidRDefault="000B7F7D" w:rsidP="00EE1980">
            <w:pPr>
              <w:jc w:val="center"/>
              <w:rPr>
                <w:sz w:val="18"/>
                <w:szCs w:val="18"/>
              </w:rPr>
            </w:pPr>
            <w:r w:rsidRPr="003C48D4">
              <w:rPr>
                <w:sz w:val="18"/>
                <w:szCs w:val="18"/>
              </w:rPr>
              <w:t>Summary of Analysis</w:t>
            </w:r>
          </w:p>
        </w:tc>
      </w:tr>
      <w:tr w:rsidR="000B7F7D" w:rsidRPr="003C48D4" w14:paraId="0B5A0FC1" w14:textId="77777777" w:rsidTr="00EE1980">
        <w:tc>
          <w:tcPr>
            <w:tcW w:w="14400" w:type="dxa"/>
            <w:gridSpan w:val="2"/>
            <w:tcBorders>
              <w:left w:val="single" w:sz="12" w:space="0" w:color="auto"/>
              <w:right w:val="single" w:sz="12" w:space="0" w:color="auto"/>
            </w:tcBorders>
          </w:tcPr>
          <w:p w14:paraId="0B5A0FC0" w14:textId="77777777" w:rsidR="000B7F7D" w:rsidRPr="000C75E5" w:rsidRDefault="000B7F7D" w:rsidP="00EE1980">
            <w:pPr>
              <w:spacing w:after="120"/>
              <w:jc w:val="both"/>
              <w:rPr>
                <w:sz w:val="19"/>
                <w:szCs w:val="19"/>
              </w:rPr>
            </w:pPr>
            <w:r w:rsidRPr="00963B3E">
              <w:rPr>
                <w:sz w:val="18"/>
                <w:szCs w:val="19"/>
              </w:rPr>
              <w:t xml:space="preserve">For the year of 2017 for </w:t>
            </w:r>
            <w:proofErr w:type="spellStart"/>
            <w:r w:rsidRPr="00963B3E">
              <w:rPr>
                <w:sz w:val="18"/>
                <w:szCs w:val="19"/>
              </w:rPr>
              <w:t>eCommerce</w:t>
            </w:r>
            <w:proofErr w:type="spellEnd"/>
            <w:r w:rsidRPr="00963B3E">
              <w:rPr>
                <w:sz w:val="18"/>
                <w:szCs w:val="19"/>
              </w:rPr>
              <w:t xml:space="preserve"> Orders, J.P. Morgan Securities PLC collated quoted bid/offer spreads over a rolling time frame, and analysed this in comparison to completed leave transactions to identify outliers. For all in scope transactions, J.P. Morgan Securities PLC was able to demonstrate that Best Execution was provided. Clients direct their orders to J.P. Morgan to execute as principal and we therefore treat all orders as directed as we are the sole execution venue. </w:t>
            </w:r>
          </w:p>
        </w:tc>
      </w:tr>
      <w:tr w:rsidR="000B7F7D" w:rsidRPr="003C48D4" w14:paraId="0B5A0FC5" w14:textId="77777777" w:rsidTr="00EE1980">
        <w:tc>
          <w:tcPr>
            <w:tcW w:w="4410" w:type="dxa"/>
            <w:tcBorders>
              <w:left w:val="single" w:sz="12" w:space="0" w:color="auto"/>
            </w:tcBorders>
            <w:shd w:val="clear" w:color="auto" w:fill="D9D9D9" w:themeFill="background1" w:themeFillShade="D9"/>
          </w:tcPr>
          <w:p w14:paraId="0B5A0FC2" w14:textId="77777777" w:rsidR="000B7F7D" w:rsidRPr="003C48D4" w:rsidRDefault="000B7F7D" w:rsidP="00EE1980">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0B5A0FC3" w14:textId="77777777" w:rsidR="000B7F7D" w:rsidRDefault="000B7F7D" w:rsidP="00EE1980">
            <w:pPr>
              <w:spacing w:after="120"/>
              <w:jc w:val="both"/>
              <w:rPr>
                <w:sz w:val="18"/>
                <w:szCs w:val="19"/>
              </w:rPr>
            </w:pPr>
            <w:r w:rsidRPr="00963B3E">
              <w:rPr>
                <w:sz w:val="18"/>
                <w:szCs w:val="19"/>
              </w:rPr>
              <w:t>As per Appendix 5 of J.P. Morgan’s Execution Policy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This latter factor increases in importance in situations where access to liquidity in the relevant instrument is constrained in some way – for example, if the currencies of the transaction are illiquid, or if the limit price provided is not marketable.</w:t>
            </w:r>
          </w:p>
          <w:p w14:paraId="0B5A0FC4" w14:textId="77777777" w:rsidR="005C1689" w:rsidRPr="005C1689" w:rsidRDefault="005C1689" w:rsidP="00EE1980">
            <w:pPr>
              <w:spacing w:after="120"/>
              <w:jc w:val="both"/>
              <w:rPr>
                <w:i/>
                <w:sz w:val="18"/>
                <w:szCs w:val="18"/>
              </w:rPr>
            </w:pPr>
          </w:p>
        </w:tc>
      </w:tr>
      <w:tr w:rsidR="000B7F7D" w:rsidRPr="003C48D4" w14:paraId="0B5A0FC8" w14:textId="77777777" w:rsidTr="00EE1980">
        <w:tc>
          <w:tcPr>
            <w:tcW w:w="4410" w:type="dxa"/>
            <w:tcBorders>
              <w:left w:val="single" w:sz="12" w:space="0" w:color="auto"/>
            </w:tcBorders>
            <w:shd w:val="clear" w:color="auto" w:fill="D9D9D9" w:themeFill="background1" w:themeFillShade="D9"/>
          </w:tcPr>
          <w:p w14:paraId="0B5A0FC6" w14:textId="77777777" w:rsidR="000B7F7D" w:rsidRPr="003C48D4" w:rsidRDefault="000B7F7D" w:rsidP="00EE1980">
            <w:pPr>
              <w:rPr>
                <w:sz w:val="18"/>
                <w:szCs w:val="18"/>
              </w:rPr>
            </w:pPr>
            <w:r w:rsidRPr="003C48D4">
              <w:rPr>
                <w:sz w:val="18"/>
                <w:szCs w:val="18"/>
              </w:rPr>
              <w:t>Execution venue close links / conflicts of interest / common ownerships</w:t>
            </w:r>
          </w:p>
        </w:tc>
        <w:tc>
          <w:tcPr>
            <w:tcW w:w="9990" w:type="dxa"/>
            <w:tcBorders>
              <w:right w:val="single" w:sz="12" w:space="0" w:color="auto"/>
            </w:tcBorders>
          </w:tcPr>
          <w:p w14:paraId="0B5A0FC7" w14:textId="77777777" w:rsidR="000B7F7D" w:rsidRPr="00963B3E" w:rsidRDefault="000B7F7D" w:rsidP="00EE1980">
            <w:pPr>
              <w:rPr>
                <w:sz w:val="18"/>
                <w:szCs w:val="19"/>
              </w:rPr>
            </w:pPr>
            <w:r w:rsidRPr="00963B3E">
              <w:rPr>
                <w:sz w:val="18"/>
                <w:szCs w:val="19"/>
              </w:rPr>
              <w:t>J.P. Morgan Securities PLC is a fully owned subsidiary of J.P. Morgan Chase &amp; Co.</w:t>
            </w:r>
          </w:p>
        </w:tc>
      </w:tr>
      <w:tr w:rsidR="000B7F7D" w:rsidRPr="003C48D4" w14:paraId="0B5A0FCB" w14:textId="77777777" w:rsidTr="00EE1980">
        <w:tc>
          <w:tcPr>
            <w:tcW w:w="4410" w:type="dxa"/>
            <w:tcBorders>
              <w:left w:val="single" w:sz="12" w:space="0" w:color="auto"/>
            </w:tcBorders>
            <w:shd w:val="clear" w:color="auto" w:fill="D9D9D9" w:themeFill="background1" w:themeFillShade="D9"/>
          </w:tcPr>
          <w:p w14:paraId="0B5A0FC9" w14:textId="77777777" w:rsidR="000B7F7D" w:rsidRPr="003C48D4" w:rsidRDefault="000B7F7D" w:rsidP="00EE1980">
            <w:pPr>
              <w:rPr>
                <w:sz w:val="18"/>
                <w:szCs w:val="18"/>
              </w:rPr>
            </w:pPr>
            <w:r w:rsidRPr="003C48D4">
              <w:rPr>
                <w:sz w:val="18"/>
                <w:szCs w:val="18"/>
              </w:rPr>
              <w:t>Specific execution venue arrangements</w:t>
            </w:r>
          </w:p>
        </w:tc>
        <w:tc>
          <w:tcPr>
            <w:tcW w:w="9990" w:type="dxa"/>
            <w:tcBorders>
              <w:right w:val="single" w:sz="12" w:space="0" w:color="auto"/>
            </w:tcBorders>
          </w:tcPr>
          <w:p w14:paraId="0B5A0FCA" w14:textId="77777777" w:rsidR="000B7F7D" w:rsidRPr="00963B3E" w:rsidRDefault="000B7F7D" w:rsidP="00EE1980">
            <w:pPr>
              <w:rPr>
                <w:sz w:val="18"/>
                <w:szCs w:val="19"/>
              </w:rPr>
            </w:pPr>
            <w:r w:rsidRPr="00963B3E">
              <w:rPr>
                <w:sz w:val="18"/>
                <w:szCs w:val="19"/>
              </w:rPr>
              <w:t xml:space="preserve">J.P. Morgan Securities PLC is the sole execution venue. </w:t>
            </w:r>
          </w:p>
        </w:tc>
      </w:tr>
      <w:tr w:rsidR="000B7F7D" w:rsidRPr="003C48D4" w14:paraId="0B5A0FCE" w14:textId="77777777" w:rsidTr="00EE1980">
        <w:trPr>
          <w:trHeight w:val="368"/>
        </w:trPr>
        <w:tc>
          <w:tcPr>
            <w:tcW w:w="4410" w:type="dxa"/>
            <w:tcBorders>
              <w:left w:val="single" w:sz="12" w:space="0" w:color="auto"/>
            </w:tcBorders>
            <w:shd w:val="clear" w:color="auto" w:fill="D9D9D9" w:themeFill="background1" w:themeFillShade="D9"/>
          </w:tcPr>
          <w:p w14:paraId="0B5A0FCC" w14:textId="77777777" w:rsidR="000B7F7D" w:rsidRPr="003C48D4" w:rsidRDefault="000B7F7D" w:rsidP="00EE1980">
            <w:pPr>
              <w:rPr>
                <w:sz w:val="18"/>
                <w:szCs w:val="18"/>
              </w:rPr>
            </w:pPr>
            <w:r w:rsidRPr="003C48D4">
              <w:rPr>
                <w:sz w:val="18"/>
                <w:szCs w:val="18"/>
              </w:rPr>
              <w:t>Changes to execution venues</w:t>
            </w:r>
          </w:p>
        </w:tc>
        <w:tc>
          <w:tcPr>
            <w:tcW w:w="9990" w:type="dxa"/>
            <w:tcBorders>
              <w:right w:val="single" w:sz="12" w:space="0" w:color="auto"/>
            </w:tcBorders>
          </w:tcPr>
          <w:p w14:paraId="0B5A0FCD" w14:textId="77777777" w:rsidR="000B7F7D" w:rsidRPr="00963B3E" w:rsidRDefault="000B7F7D" w:rsidP="00EE1980">
            <w:pPr>
              <w:spacing w:after="120"/>
              <w:rPr>
                <w:sz w:val="18"/>
                <w:szCs w:val="19"/>
              </w:rPr>
            </w:pPr>
            <w:r w:rsidRPr="00963B3E">
              <w:rPr>
                <w:sz w:val="18"/>
                <w:szCs w:val="19"/>
              </w:rPr>
              <w:t>Not Applicable</w:t>
            </w:r>
          </w:p>
        </w:tc>
      </w:tr>
      <w:tr w:rsidR="000B7F7D" w:rsidRPr="003C48D4" w14:paraId="0B5A0FD1" w14:textId="77777777" w:rsidTr="00EE1980">
        <w:tc>
          <w:tcPr>
            <w:tcW w:w="4410" w:type="dxa"/>
            <w:tcBorders>
              <w:left w:val="single" w:sz="12" w:space="0" w:color="auto"/>
            </w:tcBorders>
            <w:shd w:val="clear" w:color="auto" w:fill="D9D9D9" w:themeFill="background1" w:themeFillShade="D9"/>
          </w:tcPr>
          <w:p w14:paraId="0B5A0FCF" w14:textId="77777777" w:rsidR="000B7F7D" w:rsidRPr="003C48D4" w:rsidRDefault="000B7F7D" w:rsidP="00EE1980">
            <w:pPr>
              <w:rPr>
                <w:sz w:val="18"/>
                <w:szCs w:val="18"/>
              </w:rPr>
            </w:pPr>
            <w:r w:rsidRPr="003C48D4">
              <w:rPr>
                <w:sz w:val="18"/>
                <w:szCs w:val="18"/>
              </w:rPr>
              <w:t>Client distinctions</w:t>
            </w:r>
          </w:p>
        </w:tc>
        <w:tc>
          <w:tcPr>
            <w:tcW w:w="9990" w:type="dxa"/>
            <w:tcBorders>
              <w:right w:val="single" w:sz="12" w:space="0" w:color="auto"/>
            </w:tcBorders>
          </w:tcPr>
          <w:p w14:paraId="0B5A0FD0" w14:textId="77777777" w:rsidR="000B7F7D" w:rsidRPr="00963B3E" w:rsidRDefault="000B7F7D" w:rsidP="00EE1980">
            <w:pPr>
              <w:spacing w:after="120"/>
              <w:rPr>
                <w:sz w:val="18"/>
                <w:szCs w:val="19"/>
              </w:rPr>
            </w:pPr>
            <w:r w:rsidRPr="00963B3E">
              <w:rPr>
                <w:sz w:val="18"/>
                <w:szCs w:val="19"/>
              </w:rPr>
              <w:t xml:space="preserve">J.P. Morgan Securities PLC only deals with Professional clients for the purposes of Best Execution.  </w:t>
            </w:r>
          </w:p>
        </w:tc>
      </w:tr>
      <w:tr w:rsidR="000B7F7D" w:rsidRPr="003C48D4" w14:paraId="0B5A0FD4" w14:textId="77777777" w:rsidTr="00EE1980">
        <w:trPr>
          <w:trHeight w:val="70"/>
        </w:trPr>
        <w:tc>
          <w:tcPr>
            <w:tcW w:w="4410" w:type="dxa"/>
            <w:tcBorders>
              <w:left w:val="single" w:sz="12" w:space="0" w:color="auto"/>
            </w:tcBorders>
            <w:shd w:val="clear" w:color="auto" w:fill="D9D9D9" w:themeFill="background1" w:themeFillShade="D9"/>
          </w:tcPr>
          <w:p w14:paraId="0B5A0FD2" w14:textId="77777777" w:rsidR="000B7F7D" w:rsidRPr="003C48D4" w:rsidRDefault="000B7F7D" w:rsidP="00EE1980">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0B5A0FD3" w14:textId="77777777" w:rsidR="000B7F7D" w:rsidRPr="00963B3E" w:rsidRDefault="000B7F7D" w:rsidP="00EE1980">
            <w:pPr>
              <w:spacing w:after="120"/>
              <w:rPr>
                <w:sz w:val="18"/>
                <w:szCs w:val="19"/>
              </w:rPr>
            </w:pPr>
            <w:r w:rsidRPr="00963B3E">
              <w:rPr>
                <w:sz w:val="18"/>
                <w:szCs w:val="19"/>
              </w:rPr>
              <w:t xml:space="preserve">Not Applicable </w:t>
            </w:r>
          </w:p>
        </w:tc>
      </w:tr>
      <w:tr w:rsidR="000B7F7D" w:rsidRPr="003C48D4" w14:paraId="0B5A0FD7" w14:textId="77777777" w:rsidTr="00EE1980">
        <w:tc>
          <w:tcPr>
            <w:tcW w:w="4410" w:type="dxa"/>
            <w:tcBorders>
              <w:left w:val="single" w:sz="12" w:space="0" w:color="auto"/>
              <w:bottom w:val="single" w:sz="12" w:space="0" w:color="auto"/>
            </w:tcBorders>
            <w:shd w:val="clear" w:color="auto" w:fill="D9D9D9" w:themeFill="background1" w:themeFillShade="D9"/>
          </w:tcPr>
          <w:p w14:paraId="0B5A0FD5" w14:textId="77777777" w:rsidR="000B7F7D" w:rsidRPr="003C48D4" w:rsidRDefault="000B7F7D" w:rsidP="00EE1980">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0FD6" w14:textId="77777777" w:rsidR="000B7F7D" w:rsidRPr="00963B3E" w:rsidRDefault="000B7F7D" w:rsidP="00EE1980">
            <w:pPr>
              <w:spacing w:after="120"/>
              <w:rPr>
                <w:sz w:val="18"/>
                <w:szCs w:val="19"/>
              </w:rPr>
            </w:pPr>
            <w:r w:rsidRPr="00963B3E">
              <w:rPr>
                <w:sz w:val="18"/>
                <w:szCs w:val="19"/>
              </w:rPr>
              <w:t>Not Applicable</w:t>
            </w:r>
          </w:p>
        </w:tc>
      </w:tr>
    </w:tbl>
    <w:p w14:paraId="0B5A0FD8" w14:textId="77777777" w:rsidR="000B7F7D" w:rsidRDefault="000B7F7D" w:rsidP="000B7F7D"/>
    <w:p w14:paraId="0B5A0FD9" w14:textId="77777777" w:rsidR="000B7F7D" w:rsidRDefault="000B7F7D" w:rsidP="000B7F7D"/>
    <w:p w14:paraId="0B5A0FDA" w14:textId="77777777" w:rsidR="000B7F7D" w:rsidRDefault="000B7F7D" w:rsidP="000B7F7D"/>
    <w:p w14:paraId="0B5A0FDB" w14:textId="77777777" w:rsidR="000B7F7D" w:rsidRDefault="000B7F7D" w:rsidP="000B7F7D"/>
    <w:p w14:paraId="0B5A0FDC" w14:textId="77777777" w:rsidR="000B7F7D" w:rsidRDefault="000B7F7D" w:rsidP="000B7F7D"/>
    <w:p w14:paraId="0B5A0FDD" w14:textId="77777777" w:rsidR="000B7F7D" w:rsidRDefault="000B7F7D" w:rsidP="000B7F7D"/>
    <w:p w14:paraId="0B5A0FDE" w14:textId="77777777" w:rsidR="000B7F7D" w:rsidRDefault="000B7F7D" w:rsidP="000B7F7D"/>
    <w:p w14:paraId="0B5A0FDF" w14:textId="77777777" w:rsidR="000B7F7D" w:rsidRDefault="000B7F7D" w:rsidP="000B7F7D"/>
    <w:p w14:paraId="0B5A0FE0" w14:textId="77777777" w:rsidR="000B7F7D" w:rsidRDefault="000B7F7D" w:rsidP="000B7F7D"/>
    <w:p w14:paraId="0B5A0FE1" w14:textId="77777777" w:rsidR="000B7F7D" w:rsidRDefault="000B7F7D" w:rsidP="000B7F7D"/>
    <w:tbl>
      <w:tblPr>
        <w:tblStyle w:val="TableGrid"/>
        <w:tblW w:w="14400" w:type="dxa"/>
        <w:tblInd w:w="468" w:type="dxa"/>
        <w:tblLook w:val="04A0" w:firstRow="1" w:lastRow="0" w:firstColumn="1" w:lastColumn="0" w:noHBand="0" w:noVBand="1"/>
      </w:tblPr>
      <w:tblGrid>
        <w:gridCol w:w="4410"/>
        <w:gridCol w:w="9990"/>
      </w:tblGrid>
      <w:tr w:rsidR="000B7F7D" w:rsidRPr="003C48D4" w14:paraId="0B5A0FE4"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E2" w14:textId="77777777" w:rsidR="000B7F7D" w:rsidRPr="003C48D4" w:rsidRDefault="000B7F7D"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0FE3" w14:textId="77777777" w:rsidR="000B7F7D" w:rsidRDefault="000B7F7D" w:rsidP="00EE1980">
            <w:pPr>
              <w:rPr>
                <w:sz w:val="18"/>
                <w:szCs w:val="18"/>
              </w:rPr>
            </w:pPr>
            <w:r>
              <w:rPr>
                <w:sz w:val="18"/>
                <w:szCs w:val="18"/>
              </w:rPr>
              <w:t>J.P. Morgan Securities PLC (</w:t>
            </w:r>
            <w:r w:rsidRPr="006113D7">
              <w:rPr>
                <w:sz w:val="18"/>
                <w:szCs w:val="18"/>
              </w:rPr>
              <w:t>K6Q0W1PS1L1O4IQL9C32</w:t>
            </w:r>
            <w:r>
              <w:rPr>
                <w:sz w:val="18"/>
                <w:szCs w:val="18"/>
              </w:rPr>
              <w:t>)</w:t>
            </w:r>
          </w:p>
        </w:tc>
      </w:tr>
      <w:tr w:rsidR="000B7F7D" w:rsidRPr="003C48D4" w14:paraId="0B5A0FE7"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0FE5" w14:textId="77777777" w:rsidR="000B7F7D" w:rsidRPr="003C48D4" w:rsidRDefault="000B7F7D"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0FE6" w14:textId="77777777" w:rsidR="000B7F7D" w:rsidRPr="003C48D4" w:rsidRDefault="000B7F7D" w:rsidP="00EE1980">
            <w:pPr>
              <w:rPr>
                <w:color w:val="0000FF"/>
                <w:sz w:val="18"/>
                <w:szCs w:val="18"/>
              </w:rPr>
            </w:pPr>
            <w:r>
              <w:rPr>
                <w:sz w:val="18"/>
                <w:szCs w:val="18"/>
              </w:rPr>
              <w:t xml:space="preserve">Equity Derivatives: </w:t>
            </w:r>
            <w:r w:rsidRPr="005B5096">
              <w:rPr>
                <w:sz w:val="18"/>
                <w:szCs w:val="18"/>
              </w:rPr>
              <w:t>Swaps and other equity derivatives</w:t>
            </w:r>
          </w:p>
        </w:tc>
      </w:tr>
      <w:tr w:rsidR="000B7F7D" w:rsidRPr="003C48D4" w14:paraId="0B5A0FE9"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0FE8" w14:textId="77777777" w:rsidR="000B7F7D" w:rsidRPr="003C48D4" w:rsidRDefault="000B7F7D" w:rsidP="00EE1980">
            <w:pPr>
              <w:jc w:val="center"/>
              <w:rPr>
                <w:sz w:val="18"/>
                <w:szCs w:val="18"/>
              </w:rPr>
            </w:pPr>
            <w:r w:rsidRPr="003C48D4">
              <w:rPr>
                <w:sz w:val="18"/>
                <w:szCs w:val="18"/>
              </w:rPr>
              <w:t>Summary of Analysis</w:t>
            </w:r>
          </w:p>
        </w:tc>
      </w:tr>
      <w:tr w:rsidR="000B7F7D" w:rsidRPr="003C48D4" w14:paraId="0B5A0FEE" w14:textId="77777777" w:rsidTr="00EE1980">
        <w:tc>
          <w:tcPr>
            <w:tcW w:w="14400" w:type="dxa"/>
            <w:gridSpan w:val="2"/>
            <w:tcBorders>
              <w:left w:val="single" w:sz="12" w:space="0" w:color="auto"/>
              <w:right w:val="single" w:sz="12" w:space="0" w:color="auto"/>
            </w:tcBorders>
          </w:tcPr>
          <w:p w14:paraId="0B5A0FEA" w14:textId="77777777" w:rsidR="000B7F7D" w:rsidRPr="00635C99" w:rsidRDefault="000B7F7D" w:rsidP="00EE1980">
            <w:pPr>
              <w:rPr>
                <w:sz w:val="18"/>
                <w:szCs w:val="18"/>
              </w:rPr>
            </w:pPr>
            <w:r w:rsidRPr="00635C99">
              <w:rPr>
                <w:sz w:val="18"/>
                <w:szCs w:val="18"/>
              </w:rPr>
              <w:t xml:space="preserve">The products that have been subject to Best Execution under Equity Derivatives are products falling under the Relevant Structured Products section of Appendix 5 to the J.P. Morgan Execution Policy. Due to the nature of J.P. Morgan Securities PLC’s business it owed Best Execution in limited circumstances for Equity Derivatives. </w:t>
            </w:r>
          </w:p>
          <w:p w14:paraId="0B5A0FEB" w14:textId="77777777" w:rsidR="000B7F7D" w:rsidRPr="00635C99" w:rsidRDefault="000B7F7D" w:rsidP="00EE1980">
            <w:pPr>
              <w:rPr>
                <w:sz w:val="18"/>
                <w:szCs w:val="18"/>
              </w:rPr>
            </w:pPr>
          </w:p>
          <w:p w14:paraId="0B5A0FEC" w14:textId="77777777" w:rsidR="000B7F7D" w:rsidRPr="00635C99" w:rsidRDefault="000B7F7D" w:rsidP="00EE1980">
            <w:pPr>
              <w:rPr>
                <w:sz w:val="18"/>
                <w:szCs w:val="18"/>
              </w:rPr>
            </w:pPr>
            <w:r w:rsidRPr="00635C99">
              <w:rPr>
                <w:sz w:val="18"/>
                <w:szCs w:val="18"/>
              </w:rPr>
              <w:t xml:space="preserve">In the year 2017, this review found that obligation of Best Execution was met in each case.  The application was monitored by J.P. Morgan Securities PLC on a regular basis, through post-trade controls performed independently by control-related functions. This monitoring identified execution situations which are potentially subject to Best Execution and also monitored the correct application of the decision making process. </w:t>
            </w:r>
          </w:p>
          <w:p w14:paraId="0B5A0FED" w14:textId="77777777" w:rsidR="000B7F7D" w:rsidRPr="00635C99" w:rsidRDefault="000B7F7D" w:rsidP="00EE1980">
            <w:pPr>
              <w:rPr>
                <w:sz w:val="18"/>
                <w:szCs w:val="18"/>
              </w:rPr>
            </w:pPr>
          </w:p>
        </w:tc>
      </w:tr>
      <w:tr w:rsidR="000B7F7D" w:rsidRPr="003C48D4" w14:paraId="0B5A0FF1" w14:textId="77777777" w:rsidTr="00EE1980">
        <w:tc>
          <w:tcPr>
            <w:tcW w:w="4410" w:type="dxa"/>
            <w:tcBorders>
              <w:left w:val="single" w:sz="12" w:space="0" w:color="auto"/>
            </w:tcBorders>
            <w:shd w:val="clear" w:color="auto" w:fill="D9D9D9" w:themeFill="background1" w:themeFillShade="D9"/>
          </w:tcPr>
          <w:p w14:paraId="0B5A0FEF" w14:textId="77777777" w:rsidR="000B7F7D" w:rsidRPr="003C48D4" w:rsidRDefault="000B7F7D" w:rsidP="00EE1980">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0B5A0FF0" w14:textId="77777777" w:rsidR="000B7F7D" w:rsidRPr="00635C99" w:rsidRDefault="000B7F7D" w:rsidP="00581B37">
            <w:pPr>
              <w:spacing w:after="120"/>
              <w:jc w:val="both"/>
              <w:rPr>
                <w:i/>
                <w:sz w:val="18"/>
                <w:szCs w:val="18"/>
              </w:rPr>
            </w:pPr>
            <w:r w:rsidRPr="00635C99">
              <w:rPr>
                <w:sz w:val="18"/>
                <w:szCs w:val="18"/>
              </w:rPr>
              <w:t xml:space="preserve">The importance given in situations in which J.P. Morgan Securities PLC owes </w:t>
            </w:r>
            <w:r w:rsidR="00581B37">
              <w:rPr>
                <w:sz w:val="18"/>
                <w:szCs w:val="18"/>
              </w:rPr>
              <w:t>B</w:t>
            </w:r>
            <w:r w:rsidR="00581B37" w:rsidRPr="00635C99">
              <w:rPr>
                <w:sz w:val="18"/>
                <w:szCs w:val="18"/>
              </w:rPr>
              <w:t xml:space="preserve">est </w:t>
            </w:r>
            <w:r w:rsidR="00581B37">
              <w:rPr>
                <w:sz w:val="18"/>
                <w:szCs w:val="18"/>
              </w:rPr>
              <w:t>E</w:t>
            </w:r>
            <w:r w:rsidR="00581B37" w:rsidRPr="00635C99">
              <w:rPr>
                <w:sz w:val="18"/>
                <w:szCs w:val="18"/>
              </w:rPr>
              <w:t xml:space="preserve">xecution </w:t>
            </w:r>
            <w:r w:rsidRPr="00635C99">
              <w:rPr>
                <w:sz w:val="18"/>
                <w:szCs w:val="18"/>
              </w:rPr>
              <w:t>is set out under the Relevant Structured Products section of Appendix 5 to the J.P. Morgan Execution Policy</w:t>
            </w:r>
            <w:r w:rsidR="00732D0F">
              <w:rPr>
                <w:sz w:val="18"/>
                <w:szCs w:val="18"/>
              </w:rPr>
              <w:t>. The most important factor is price, followed by s</w:t>
            </w:r>
            <w:r w:rsidRPr="00635C99">
              <w:rPr>
                <w:sz w:val="18"/>
                <w:szCs w:val="18"/>
              </w:rPr>
              <w:t xml:space="preserve">peed and then likelihood of execution. </w:t>
            </w:r>
          </w:p>
        </w:tc>
      </w:tr>
      <w:tr w:rsidR="000B7F7D" w:rsidRPr="003C48D4" w14:paraId="0B5A0FF4" w14:textId="77777777" w:rsidTr="00EE1980">
        <w:tc>
          <w:tcPr>
            <w:tcW w:w="4410" w:type="dxa"/>
            <w:tcBorders>
              <w:left w:val="single" w:sz="12" w:space="0" w:color="auto"/>
            </w:tcBorders>
            <w:shd w:val="clear" w:color="auto" w:fill="D9D9D9" w:themeFill="background1" w:themeFillShade="D9"/>
          </w:tcPr>
          <w:p w14:paraId="0B5A0FF2" w14:textId="77777777" w:rsidR="000B7F7D" w:rsidRPr="003C48D4" w:rsidRDefault="000B7F7D" w:rsidP="00EE1980">
            <w:pPr>
              <w:rPr>
                <w:sz w:val="18"/>
                <w:szCs w:val="18"/>
              </w:rPr>
            </w:pPr>
            <w:r w:rsidRPr="003C48D4">
              <w:rPr>
                <w:sz w:val="18"/>
                <w:szCs w:val="18"/>
              </w:rPr>
              <w:t>Execution venue close links / conflicts of interest / common ownerships</w:t>
            </w:r>
          </w:p>
        </w:tc>
        <w:tc>
          <w:tcPr>
            <w:tcW w:w="9990" w:type="dxa"/>
            <w:tcBorders>
              <w:right w:val="single" w:sz="12" w:space="0" w:color="auto"/>
            </w:tcBorders>
          </w:tcPr>
          <w:p w14:paraId="0B5A0FF3" w14:textId="77777777" w:rsidR="000B7F7D" w:rsidRPr="00635C99" w:rsidRDefault="000B7F7D" w:rsidP="00EE1980">
            <w:pPr>
              <w:rPr>
                <w:i/>
                <w:sz w:val="18"/>
                <w:szCs w:val="18"/>
              </w:rPr>
            </w:pPr>
            <w:r w:rsidRPr="00635C99">
              <w:rPr>
                <w:sz w:val="18"/>
                <w:szCs w:val="18"/>
              </w:rPr>
              <w:t>J.P. Morgan Securities PLC is a fully owned subsidiary of J.P. Morgan Chase &amp; Co.</w:t>
            </w:r>
          </w:p>
        </w:tc>
      </w:tr>
      <w:tr w:rsidR="000B7F7D" w:rsidRPr="003C48D4" w14:paraId="0B5A0FF7" w14:textId="77777777" w:rsidTr="00EE1980">
        <w:tc>
          <w:tcPr>
            <w:tcW w:w="4410" w:type="dxa"/>
            <w:tcBorders>
              <w:left w:val="single" w:sz="12" w:space="0" w:color="auto"/>
            </w:tcBorders>
            <w:shd w:val="clear" w:color="auto" w:fill="D9D9D9" w:themeFill="background1" w:themeFillShade="D9"/>
          </w:tcPr>
          <w:p w14:paraId="0B5A0FF5" w14:textId="77777777" w:rsidR="000B7F7D" w:rsidRPr="003C48D4" w:rsidRDefault="000B7F7D" w:rsidP="00EE1980">
            <w:pPr>
              <w:rPr>
                <w:sz w:val="18"/>
                <w:szCs w:val="18"/>
              </w:rPr>
            </w:pPr>
            <w:r w:rsidRPr="003C48D4">
              <w:rPr>
                <w:sz w:val="18"/>
                <w:szCs w:val="18"/>
              </w:rPr>
              <w:t>Specific execution venue arrangements</w:t>
            </w:r>
          </w:p>
        </w:tc>
        <w:tc>
          <w:tcPr>
            <w:tcW w:w="9990" w:type="dxa"/>
            <w:tcBorders>
              <w:right w:val="single" w:sz="12" w:space="0" w:color="auto"/>
            </w:tcBorders>
          </w:tcPr>
          <w:p w14:paraId="0B5A0FF6" w14:textId="77777777" w:rsidR="000B7F7D" w:rsidRPr="00635C99" w:rsidRDefault="000B7F7D" w:rsidP="00EE1980">
            <w:pPr>
              <w:rPr>
                <w:i/>
                <w:sz w:val="18"/>
                <w:szCs w:val="18"/>
              </w:rPr>
            </w:pPr>
            <w:r w:rsidRPr="00635C99">
              <w:rPr>
                <w:sz w:val="18"/>
                <w:szCs w:val="18"/>
              </w:rPr>
              <w:t xml:space="preserve">J.P. Morgan Securities PLC is the sole execution venue. </w:t>
            </w:r>
          </w:p>
        </w:tc>
      </w:tr>
      <w:tr w:rsidR="000B7F7D" w:rsidRPr="003C48D4" w14:paraId="0B5A0FFA" w14:textId="77777777" w:rsidTr="00EE1980">
        <w:trPr>
          <w:trHeight w:val="368"/>
        </w:trPr>
        <w:tc>
          <w:tcPr>
            <w:tcW w:w="4410" w:type="dxa"/>
            <w:tcBorders>
              <w:left w:val="single" w:sz="12" w:space="0" w:color="auto"/>
            </w:tcBorders>
            <w:shd w:val="clear" w:color="auto" w:fill="D9D9D9" w:themeFill="background1" w:themeFillShade="D9"/>
          </w:tcPr>
          <w:p w14:paraId="0B5A0FF8" w14:textId="77777777" w:rsidR="000B7F7D" w:rsidRPr="003C48D4" w:rsidRDefault="000B7F7D" w:rsidP="00EE1980">
            <w:pPr>
              <w:rPr>
                <w:sz w:val="18"/>
                <w:szCs w:val="18"/>
              </w:rPr>
            </w:pPr>
            <w:r w:rsidRPr="003C48D4">
              <w:rPr>
                <w:sz w:val="18"/>
                <w:szCs w:val="18"/>
              </w:rPr>
              <w:t>Changes to execution venues</w:t>
            </w:r>
          </w:p>
        </w:tc>
        <w:tc>
          <w:tcPr>
            <w:tcW w:w="9990" w:type="dxa"/>
            <w:tcBorders>
              <w:right w:val="single" w:sz="12" w:space="0" w:color="auto"/>
            </w:tcBorders>
          </w:tcPr>
          <w:p w14:paraId="0B5A0FF9" w14:textId="77777777" w:rsidR="000B7F7D" w:rsidRPr="00635C99" w:rsidRDefault="000B7F7D" w:rsidP="00EE1980">
            <w:pPr>
              <w:spacing w:after="120"/>
              <w:rPr>
                <w:i/>
                <w:sz w:val="18"/>
                <w:szCs w:val="18"/>
              </w:rPr>
            </w:pPr>
            <w:r w:rsidRPr="00635C99">
              <w:rPr>
                <w:sz w:val="18"/>
                <w:szCs w:val="18"/>
              </w:rPr>
              <w:t>Not Applicable</w:t>
            </w:r>
          </w:p>
        </w:tc>
      </w:tr>
      <w:tr w:rsidR="000B7F7D" w:rsidRPr="003C48D4" w14:paraId="0B5A0FFD" w14:textId="77777777" w:rsidTr="00EE1980">
        <w:tc>
          <w:tcPr>
            <w:tcW w:w="4410" w:type="dxa"/>
            <w:tcBorders>
              <w:left w:val="single" w:sz="12" w:space="0" w:color="auto"/>
            </w:tcBorders>
            <w:shd w:val="clear" w:color="auto" w:fill="D9D9D9" w:themeFill="background1" w:themeFillShade="D9"/>
          </w:tcPr>
          <w:p w14:paraId="0B5A0FFB" w14:textId="77777777" w:rsidR="000B7F7D" w:rsidRPr="003C48D4" w:rsidRDefault="000B7F7D" w:rsidP="00EE1980">
            <w:pPr>
              <w:rPr>
                <w:sz w:val="18"/>
                <w:szCs w:val="18"/>
              </w:rPr>
            </w:pPr>
            <w:r w:rsidRPr="003C48D4">
              <w:rPr>
                <w:sz w:val="18"/>
                <w:szCs w:val="18"/>
              </w:rPr>
              <w:t>Client distinctions</w:t>
            </w:r>
          </w:p>
        </w:tc>
        <w:tc>
          <w:tcPr>
            <w:tcW w:w="9990" w:type="dxa"/>
            <w:tcBorders>
              <w:right w:val="single" w:sz="12" w:space="0" w:color="auto"/>
            </w:tcBorders>
          </w:tcPr>
          <w:p w14:paraId="0B5A0FFC" w14:textId="77777777" w:rsidR="000B7F7D" w:rsidRPr="00635C99" w:rsidRDefault="000B7F7D" w:rsidP="00EE1980">
            <w:pPr>
              <w:spacing w:after="120"/>
              <w:rPr>
                <w:i/>
                <w:sz w:val="18"/>
                <w:szCs w:val="18"/>
              </w:rPr>
            </w:pPr>
            <w:r w:rsidRPr="00635C99">
              <w:rPr>
                <w:sz w:val="18"/>
                <w:szCs w:val="18"/>
              </w:rPr>
              <w:t xml:space="preserve">J.P. Morgan Securities PLC only deals with Professional clients for the purposes of Best Execution.  </w:t>
            </w:r>
          </w:p>
        </w:tc>
      </w:tr>
      <w:tr w:rsidR="000B7F7D" w:rsidRPr="003C48D4" w14:paraId="0B5A1000" w14:textId="77777777" w:rsidTr="00EE1980">
        <w:tc>
          <w:tcPr>
            <w:tcW w:w="4410" w:type="dxa"/>
            <w:tcBorders>
              <w:left w:val="single" w:sz="12" w:space="0" w:color="auto"/>
            </w:tcBorders>
            <w:shd w:val="clear" w:color="auto" w:fill="D9D9D9" w:themeFill="background1" w:themeFillShade="D9"/>
          </w:tcPr>
          <w:p w14:paraId="0B5A0FFE" w14:textId="77777777" w:rsidR="000B7F7D" w:rsidRPr="003C48D4" w:rsidRDefault="000B7F7D" w:rsidP="00EE1980">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0B5A0FFF" w14:textId="77777777" w:rsidR="000B7F7D" w:rsidRPr="00635C99" w:rsidRDefault="000B7F7D" w:rsidP="00EE1980">
            <w:pPr>
              <w:spacing w:after="120"/>
              <w:rPr>
                <w:i/>
                <w:sz w:val="18"/>
                <w:szCs w:val="18"/>
              </w:rPr>
            </w:pPr>
            <w:r w:rsidRPr="00635C99">
              <w:rPr>
                <w:sz w:val="18"/>
                <w:szCs w:val="18"/>
              </w:rPr>
              <w:t xml:space="preserve">Not Applicable </w:t>
            </w:r>
          </w:p>
        </w:tc>
      </w:tr>
      <w:tr w:rsidR="000B7F7D" w:rsidRPr="003C48D4" w14:paraId="0B5A1003" w14:textId="77777777" w:rsidTr="00EE1980">
        <w:tc>
          <w:tcPr>
            <w:tcW w:w="4410" w:type="dxa"/>
            <w:tcBorders>
              <w:left w:val="single" w:sz="12" w:space="0" w:color="auto"/>
              <w:bottom w:val="single" w:sz="12" w:space="0" w:color="auto"/>
            </w:tcBorders>
            <w:shd w:val="clear" w:color="auto" w:fill="D9D9D9" w:themeFill="background1" w:themeFillShade="D9"/>
          </w:tcPr>
          <w:p w14:paraId="0B5A1001" w14:textId="77777777" w:rsidR="000B7F7D" w:rsidRPr="003C48D4" w:rsidRDefault="000B7F7D" w:rsidP="00EE1980">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1002" w14:textId="77777777" w:rsidR="000B7F7D" w:rsidRPr="00635C99" w:rsidRDefault="000B7F7D" w:rsidP="00EE1980">
            <w:pPr>
              <w:spacing w:after="120"/>
              <w:rPr>
                <w:i/>
                <w:sz w:val="18"/>
                <w:szCs w:val="18"/>
              </w:rPr>
            </w:pPr>
            <w:r w:rsidRPr="00635C99">
              <w:rPr>
                <w:sz w:val="18"/>
                <w:szCs w:val="18"/>
              </w:rPr>
              <w:t>Not Applicable</w:t>
            </w:r>
          </w:p>
        </w:tc>
      </w:tr>
    </w:tbl>
    <w:p w14:paraId="0B5A1004" w14:textId="77777777" w:rsidR="000B7F7D" w:rsidRDefault="000B7F7D" w:rsidP="000B7F7D"/>
    <w:p w14:paraId="0B5A1005" w14:textId="77777777" w:rsidR="000B7F7D" w:rsidRDefault="000B7F7D" w:rsidP="000B7F7D"/>
    <w:p w14:paraId="0B5A1006" w14:textId="77777777" w:rsidR="000B7F7D" w:rsidRDefault="000B7F7D" w:rsidP="000B7F7D"/>
    <w:p w14:paraId="0B5A1007" w14:textId="77777777" w:rsidR="000B7F7D" w:rsidRDefault="000B7F7D" w:rsidP="000B7F7D"/>
    <w:p w14:paraId="0B5A1008" w14:textId="77777777" w:rsidR="000B7F7D" w:rsidRDefault="000B7F7D" w:rsidP="000B7F7D"/>
    <w:p w14:paraId="0B5A1009" w14:textId="77777777" w:rsidR="000B7F7D" w:rsidRDefault="000B7F7D" w:rsidP="000B7F7D"/>
    <w:p w14:paraId="0B5A100A" w14:textId="77777777" w:rsidR="000B7F7D" w:rsidRDefault="000B7F7D" w:rsidP="000B7F7D"/>
    <w:p w14:paraId="0B5A100B" w14:textId="77777777" w:rsidR="000B7F7D" w:rsidRDefault="000B7F7D" w:rsidP="000B7F7D"/>
    <w:p w14:paraId="0B5A100C" w14:textId="77777777" w:rsidR="000B7F7D" w:rsidRDefault="000B7F7D" w:rsidP="000B7F7D"/>
    <w:p w14:paraId="0B5A100D" w14:textId="77777777" w:rsidR="000B7F7D" w:rsidRDefault="000B7F7D" w:rsidP="000B7F7D"/>
    <w:tbl>
      <w:tblPr>
        <w:tblStyle w:val="TableGrid"/>
        <w:tblW w:w="14400" w:type="dxa"/>
        <w:tblInd w:w="468" w:type="dxa"/>
        <w:tblLook w:val="04A0" w:firstRow="1" w:lastRow="0" w:firstColumn="1" w:lastColumn="0" w:noHBand="0" w:noVBand="1"/>
      </w:tblPr>
      <w:tblGrid>
        <w:gridCol w:w="4410"/>
        <w:gridCol w:w="9990"/>
      </w:tblGrid>
      <w:tr w:rsidR="000B7F7D" w:rsidRPr="003C48D4" w14:paraId="0B5A1010"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0E" w14:textId="77777777" w:rsidR="000B7F7D" w:rsidRPr="003C48D4" w:rsidRDefault="000B7F7D"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100F" w14:textId="77777777" w:rsidR="000B7F7D" w:rsidRDefault="000B7F7D" w:rsidP="00EE1980">
            <w:pPr>
              <w:rPr>
                <w:sz w:val="18"/>
                <w:szCs w:val="18"/>
              </w:rPr>
            </w:pPr>
            <w:r>
              <w:rPr>
                <w:sz w:val="18"/>
                <w:szCs w:val="18"/>
              </w:rPr>
              <w:t>J.P. Morgan Securities PLC (</w:t>
            </w:r>
            <w:r w:rsidRPr="006113D7">
              <w:rPr>
                <w:sz w:val="18"/>
                <w:szCs w:val="18"/>
              </w:rPr>
              <w:t>K6Q0W1PS1L1O4IQL9C32</w:t>
            </w:r>
            <w:r>
              <w:rPr>
                <w:sz w:val="18"/>
                <w:szCs w:val="18"/>
              </w:rPr>
              <w:t>)</w:t>
            </w:r>
          </w:p>
        </w:tc>
      </w:tr>
      <w:tr w:rsidR="000B7F7D" w:rsidRPr="003C48D4" w14:paraId="0B5A1013"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11" w14:textId="77777777" w:rsidR="000B7F7D" w:rsidRPr="003C48D4" w:rsidRDefault="000B7F7D"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1012" w14:textId="77777777" w:rsidR="000B7F7D" w:rsidRPr="003C48D4" w:rsidRDefault="000B7F7D" w:rsidP="00EE1980">
            <w:pPr>
              <w:rPr>
                <w:color w:val="0000FF"/>
                <w:sz w:val="18"/>
                <w:szCs w:val="18"/>
              </w:rPr>
            </w:pPr>
            <w:r>
              <w:rPr>
                <w:sz w:val="18"/>
                <w:szCs w:val="18"/>
              </w:rPr>
              <w:t xml:space="preserve">Securitized Derivatives: </w:t>
            </w:r>
            <w:r w:rsidRPr="001619B2">
              <w:rPr>
                <w:sz w:val="18"/>
                <w:szCs w:val="18"/>
              </w:rPr>
              <w:t>Other securitized derivatives</w:t>
            </w:r>
          </w:p>
        </w:tc>
      </w:tr>
      <w:tr w:rsidR="000B7F7D" w:rsidRPr="003C48D4" w14:paraId="0B5A1015"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1014" w14:textId="77777777" w:rsidR="000B7F7D" w:rsidRPr="003C48D4" w:rsidRDefault="000B7F7D" w:rsidP="00EE1980">
            <w:pPr>
              <w:jc w:val="center"/>
              <w:rPr>
                <w:sz w:val="18"/>
                <w:szCs w:val="18"/>
              </w:rPr>
            </w:pPr>
            <w:r w:rsidRPr="003C48D4">
              <w:rPr>
                <w:sz w:val="18"/>
                <w:szCs w:val="18"/>
              </w:rPr>
              <w:t>Summary of Analysis</w:t>
            </w:r>
          </w:p>
        </w:tc>
      </w:tr>
      <w:tr w:rsidR="000B7F7D" w:rsidRPr="003C48D4" w14:paraId="0B5A1018" w14:textId="77777777" w:rsidTr="00EE1980">
        <w:tc>
          <w:tcPr>
            <w:tcW w:w="14400" w:type="dxa"/>
            <w:gridSpan w:val="2"/>
            <w:tcBorders>
              <w:left w:val="single" w:sz="12" w:space="0" w:color="auto"/>
              <w:right w:val="single" w:sz="12" w:space="0" w:color="auto"/>
            </w:tcBorders>
          </w:tcPr>
          <w:p w14:paraId="0B5A1016" w14:textId="77777777" w:rsidR="000B7F7D" w:rsidRPr="007C0423" w:rsidRDefault="000B7F7D" w:rsidP="00EE1980">
            <w:pPr>
              <w:rPr>
                <w:sz w:val="18"/>
                <w:szCs w:val="18"/>
              </w:rPr>
            </w:pPr>
            <w:r w:rsidRPr="007C0423">
              <w:rPr>
                <w:sz w:val="18"/>
                <w:szCs w:val="18"/>
              </w:rPr>
              <w:t xml:space="preserve">The products that have been subject to Best Execution under Securitized Derivatives are products falling under the Relevant Structured Products section of Appendix 5 to the J.P. Morgan Execution Policy. Due to the nature of </w:t>
            </w:r>
            <w:r>
              <w:rPr>
                <w:sz w:val="18"/>
                <w:szCs w:val="18"/>
              </w:rPr>
              <w:t xml:space="preserve">J.P. Morgan Securities PLC’s </w:t>
            </w:r>
            <w:r w:rsidRPr="007C0423">
              <w:rPr>
                <w:sz w:val="18"/>
                <w:szCs w:val="18"/>
              </w:rPr>
              <w:t>business</w:t>
            </w:r>
            <w:r>
              <w:rPr>
                <w:sz w:val="18"/>
                <w:szCs w:val="18"/>
              </w:rPr>
              <w:t>,</w:t>
            </w:r>
            <w:r w:rsidRPr="007C0423">
              <w:rPr>
                <w:sz w:val="18"/>
                <w:szCs w:val="18"/>
              </w:rPr>
              <w:t xml:space="preserve"> it owed Best Execution in limited circumstances for Securitized Derivatives. </w:t>
            </w:r>
            <w:r>
              <w:rPr>
                <w:sz w:val="18"/>
                <w:szCs w:val="18"/>
              </w:rPr>
              <w:t xml:space="preserve"> J.P. Morgan Securities PLC </w:t>
            </w:r>
            <w:r w:rsidRPr="007C0423">
              <w:rPr>
                <w:sz w:val="18"/>
                <w:szCs w:val="18"/>
              </w:rPr>
              <w:t>has implemented procedures in order to, on a regular basis, monitor the application of Best Execution to Securitized Derivatives through post-trade controls performed independently by control-related functions. This monitoring will identify execution situations which are potentially subject to Best Execution and will also monitor the correct application of the decision making process.</w:t>
            </w:r>
          </w:p>
          <w:p w14:paraId="0B5A1017" w14:textId="77777777" w:rsidR="000B7F7D" w:rsidRPr="005B14E1" w:rsidRDefault="000B7F7D" w:rsidP="00EE1980">
            <w:pPr>
              <w:rPr>
                <w:color w:val="1F497D" w:themeColor="text2"/>
                <w:sz w:val="18"/>
                <w:szCs w:val="18"/>
              </w:rPr>
            </w:pPr>
          </w:p>
        </w:tc>
      </w:tr>
      <w:tr w:rsidR="000B7F7D" w:rsidRPr="003C48D4" w14:paraId="0B5A101B" w14:textId="77777777" w:rsidTr="00EE1980">
        <w:tc>
          <w:tcPr>
            <w:tcW w:w="4410" w:type="dxa"/>
            <w:tcBorders>
              <w:left w:val="single" w:sz="12" w:space="0" w:color="auto"/>
            </w:tcBorders>
            <w:shd w:val="clear" w:color="auto" w:fill="D9D9D9" w:themeFill="background1" w:themeFillShade="D9"/>
          </w:tcPr>
          <w:p w14:paraId="0B5A1019" w14:textId="77777777" w:rsidR="000B7F7D" w:rsidRPr="003C48D4" w:rsidRDefault="000B7F7D" w:rsidP="00EE1980">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0B5A101A" w14:textId="77777777" w:rsidR="000B7F7D" w:rsidRPr="00DF0608" w:rsidRDefault="000B7F7D" w:rsidP="00581B37">
            <w:pPr>
              <w:spacing w:after="120"/>
              <w:jc w:val="both"/>
              <w:rPr>
                <w:i/>
                <w:sz w:val="18"/>
                <w:szCs w:val="18"/>
              </w:rPr>
            </w:pPr>
            <w:r w:rsidRPr="00DF0608">
              <w:rPr>
                <w:sz w:val="18"/>
                <w:szCs w:val="18"/>
              </w:rPr>
              <w:t xml:space="preserve">The importance given in situations in which J.P. Morgan Securities PLC owes </w:t>
            </w:r>
            <w:r w:rsidR="00581B37">
              <w:rPr>
                <w:sz w:val="18"/>
                <w:szCs w:val="18"/>
              </w:rPr>
              <w:t>B</w:t>
            </w:r>
            <w:r w:rsidR="00581B37" w:rsidRPr="00DF0608">
              <w:rPr>
                <w:sz w:val="18"/>
                <w:szCs w:val="18"/>
              </w:rPr>
              <w:t xml:space="preserve">est </w:t>
            </w:r>
            <w:r w:rsidR="00581B37">
              <w:rPr>
                <w:sz w:val="18"/>
                <w:szCs w:val="18"/>
              </w:rPr>
              <w:t>E</w:t>
            </w:r>
            <w:r w:rsidRPr="00DF0608">
              <w:rPr>
                <w:sz w:val="18"/>
                <w:szCs w:val="18"/>
              </w:rPr>
              <w:t>xecution is set out under the Relevant Structured Products section of Appendix 5 to the J.P. Morgan Execution Policy</w:t>
            </w:r>
            <w:r w:rsidR="00732D0F">
              <w:rPr>
                <w:sz w:val="18"/>
                <w:szCs w:val="18"/>
              </w:rPr>
              <w:t>. The most important factor is price, followed by s</w:t>
            </w:r>
            <w:r w:rsidRPr="00DF0608">
              <w:rPr>
                <w:sz w:val="18"/>
                <w:szCs w:val="18"/>
              </w:rPr>
              <w:t xml:space="preserve">peed and then likelihood of execution. </w:t>
            </w:r>
          </w:p>
        </w:tc>
      </w:tr>
      <w:tr w:rsidR="000B7F7D" w:rsidRPr="003C48D4" w14:paraId="0B5A101E" w14:textId="77777777" w:rsidTr="00EE1980">
        <w:tc>
          <w:tcPr>
            <w:tcW w:w="4410" w:type="dxa"/>
            <w:tcBorders>
              <w:left w:val="single" w:sz="12" w:space="0" w:color="auto"/>
            </w:tcBorders>
            <w:shd w:val="clear" w:color="auto" w:fill="D9D9D9" w:themeFill="background1" w:themeFillShade="D9"/>
          </w:tcPr>
          <w:p w14:paraId="0B5A101C" w14:textId="77777777" w:rsidR="000B7F7D" w:rsidRPr="003C48D4" w:rsidRDefault="000B7F7D" w:rsidP="00EE1980">
            <w:pPr>
              <w:rPr>
                <w:sz w:val="18"/>
                <w:szCs w:val="18"/>
              </w:rPr>
            </w:pPr>
            <w:r w:rsidRPr="003C48D4">
              <w:rPr>
                <w:sz w:val="18"/>
                <w:szCs w:val="18"/>
              </w:rPr>
              <w:t>Execution venue close links / conflicts of interest / common ownerships</w:t>
            </w:r>
          </w:p>
        </w:tc>
        <w:tc>
          <w:tcPr>
            <w:tcW w:w="9990" w:type="dxa"/>
            <w:tcBorders>
              <w:right w:val="single" w:sz="12" w:space="0" w:color="auto"/>
            </w:tcBorders>
          </w:tcPr>
          <w:p w14:paraId="0B5A101D" w14:textId="77777777" w:rsidR="000B7F7D" w:rsidRPr="00DF0608" w:rsidRDefault="000B7F7D" w:rsidP="00EE1980">
            <w:pPr>
              <w:rPr>
                <w:i/>
                <w:sz w:val="18"/>
                <w:szCs w:val="18"/>
              </w:rPr>
            </w:pPr>
            <w:r w:rsidRPr="00DF0608">
              <w:rPr>
                <w:sz w:val="18"/>
                <w:szCs w:val="18"/>
              </w:rPr>
              <w:t>J.P. Morgan Securities PLC is a fully owned subsidiary of J.P. Morgan Chase &amp; Co.</w:t>
            </w:r>
          </w:p>
        </w:tc>
      </w:tr>
      <w:tr w:rsidR="000B7F7D" w:rsidRPr="003C48D4" w14:paraId="0B5A1021" w14:textId="77777777" w:rsidTr="00EE1980">
        <w:trPr>
          <w:trHeight w:val="314"/>
        </w:trPr>
        <w:tc>
          <w:tcPr>
            <w:tcW w:w="4410" w:type="dxa"/>
            <w:tcBorders>
              <w:left w:val="single" w:sz="12" w:space="0" w:color="auto"/>
            </w:tcBorders>
            <w:shd w:val="clear" w:color="auto" w:fill="D9D9D9" w:themeFill="background1" w:themeFillShade="D9"/>
          </w:tcPr>
          <w:p w14:paraId="0B5A101F" w14:textId="77777777" w:rsidR="000B7F7D" w:rsidRPr="003C48D4" w:rsidRDefault="000B7F7D" w:rsidP="00EE1980">
            <w:pPr>
              <w:rPr>
                <w:sz w:val="18"/>
                <w:szCs w:val="18"/>
              </w:rPr>
            </w:pPr>
            <w:r w:rsidRPr="003C48D4">
              <w:rPr>
                <w:sz w:val="18"/>
                <w:szCs w:val="18"/>
              </w:rPr>
              <w:t>Specific execution venue arrangements</w:t>
            </w:r>
          </w:p>
        </w:tc>
        <w:tc>
          <w:tcPr>
            <w:tcW w:w="9990" w:type="dxa"/>
            <w:tcBorders>
              <w:right w:val="single" w:sz="12" w:space="0" w:color="auto"/>
            </w:tcBorders>
          </w:tcPr>
          <w:p w14:paraId="0B5A1020" w14:textId="77777777" w:rsidR="000B7F7D" w:rsidRPr="00DF0608" w:rsidRDefault="000B7F7D" w:rsidP="00EE1980">
            <w:pPr>
              <w:rPr>
                <w:i/>
                <w:sz w:val="18"/>
                <w:szCs w:val="18"/>
              </w:rPr>
            </w:pPr>
            <w:r w:rsidRPr="00DF0608">
              <w:rPr>
                <w:sz w:val="18"/>
                <w:szCs w:val="18"/>
              </w:rPr>
              <w:t>J.P. Morgan</w:t>
            </w:r>
            <w:r>
              <w:rPr>
                <w:sz w:val="18"/>
                <w:szCs w:val="18"/>
              </w:rPr>
              <w:t xml:space="preserve"> Securities PLC</w:t>
            </w:r>
            <w:r w:rsidRPr="00DF0608">
              <w:rPr>
                <w:sz w:val="18"/>
                <w:szCs w:val="18"/>
              </w:rPr>
              <w:t xml:space="preserve"> </w:t>
            </w:r>
            <w:r>
              <w:rPr>
                <w:sz w:val="18"/>
                <w:szCs w:val="18"/>
              </w:rPr>
              <w:t>is the sole execution venue.</w:t>
            </w:r>
          </w:p>
        </w:tc>
      </w:tr>
      <w:tr w:rsidR="000B7F7D" w:rsidRPr="003C48D4" w14:paraId="0B5A1024" w14:textId="77777777" w:rsidTr="00EE1980">
        <w:trPr>
          <w:trHeight w:val="368"/>
        </w:trPr>
        <w:tc>
          <w:tcPr>
            <w:tcW w:w="4410" w:type="dxa"/>
            <w:tcBorders>
              <w:left w:val="single" w:sz="12" w:space="0" w:color="auto"/>
            </w:tcBorders>
            <w:shd w:val="clear" w:color="auto" w:fill="D9D9D9" w:themeFill="background1" w:themeFillShade="D9"/>
          </w:tcPr>
          <w:p w14:paraId="0B5A1022" w14:textId="77777777" w:rsidR="000B7F7D" w:rsidRPr="003C48D4" w:rsidRDefault="000B7F7D" w:rsidP="00EE1980">
            <w:pPr>
              <w:rPr>
                <w:sz w:val="18"/>
                <w:szCs w:val="18"/>
              </w:rPr>
            </w:pPr>
            <w:r w:rsidRPr="003C48D4">
              <w:rPr>
                <w:sz w:val="18"/>
                <w:szCs w:val="18"/>
              </w:rPr>
              <w:t>Changes to execution venues</w:t>
            </w:r>
          </w:p>
        </w:tc>
        <w:tc>
          <w:tcPr>
            <w:tcW w:w="9990" w:type="dxa"/>
            <w:tcBorders>
              <w:right w:val="single" w:sz="12" w:space="0" w:color="auto"/>
            </w:tcBorders>
          </w:tcPr>
          <w:p w14:paraId="0B5A1023" w14:textId="77777777" w:rsidR="000B7F7D" w:rsidRPr="00DF0608" w:rsidRDefault="000B7F7D" w:rsidP="00EE1980">
            <w:pPr>
              <w:spacing w:after="120"/>
              <w:rPr>
                <w:i/>
                <w:sz w:val="18"/>
                <w:szCs w:val="18"/>
              </w:rPr>
            </w:pPr>
            <w:r w:rsidRPr="00DF0608">
              <w:rPr>
                <w:sz w:val="18"/>
                <w:szCs w:val="18"/>
              </w:rPr>
              <w:t>Not Applicable</w:t>
            </w:r>
          </w:p>
        </w:tc>
      </w:tr>
      <w:tr w:rsidR="000B7F7D" w:rsidRPr="003C48D4" w14:paraId="0B5A1027" w14:textId="77777777" w:rsidTr="00EE1980">
        <w:tc>
          <w:tcPr>
            <w:tcW w:w="4410" w:type="dxa"/>
            <w:tcBorders>
              <w:left w:val="single" w:sz="12" w:space="0" w:color="auto"/>
            </w:tcBorders>
            <w:shd w:val="clear" w:color="auto" w:fill="D9D9D9" w:themeFill="background1" w:themeFillShade="D9"/>
          </w:tcPr>
          <w:p w14:paraId="0B5A1025" w14:textId="77777777" w:rsidR="000B7F7D" w:rsidRPr="003C48D4" w:rsidRDefault="000B7F7D" w:rsidP="00EE1980">
            <w:pPr>
              <w:rPr>
                <w:sz w:val="18"/>
                <w:szCs w:val="18"/>
              </w:rPr>
            </w:pPr>
            <w:r w:rsidRPr="003C48D4">
              <w:rPr>
                <w:sz w:val="18"/>
                <w:szCs w:val="18"/>
              </w:rPr>
              <w:t>Client distinctions</w:t>
            </w:r>
          </w:p>
        </w:tc>
        <w:tc>
          <w:tcPr>
            <w:tcW w:w="9990" w:type="dxa"/>
            <w:tcBorders>
              <w:right w:val="single" w:sz="12" w:space="0" w:color="auto"/>
            </w:tcBorders>
          </w:tcPr>
          <w:p w14:paraId="0B5A1026" w14:textId="77777777" w:rsidR="000B7F7D" w:rsidRPr="00DF0608" w:rsidRDefault="000B7F7D" w:rsidP="00EE1980">
            <w:pPr>
              <w:spacing w:after="120"/>
              <w:rPr>
                <w:i/>
                <w:sz w:val="18"/>
                <w:szCs w:val="18"/>
              </w:rPr>
            </w:pPr>
            <w:r w:rsidRPr="00DF0608">
              <w:rPr>
                <w:sz w:val="18"/>
                <w:szCs w:val="18"/>
              </w:rPr>
              <w:t xml:space="preserve">J.P. Morgan Securities PLC only deals with Professional clients for the purposes of Best Execution.  </w:t>
            </w:r>
          </w:p>
        </w:tc>
      </w:tr>
      <w:tr w:rsidR="000B7F7D" w:rsidRPr="003C48D4" w14:paraId="0B5A102A" w14:textId="77777777" w:rsidTr="00EE1980">
        <w:tc>
          <w:tcPr>
            <w:tcW w:w="4410" w:type="dxa"/>
            <w:tcBorders>
              <w:left w:val="single" w:sz="12" w:space="0" w:color="auto"/>
            </w:tcBorders>
            <w:shd w:val="clear" w:color="auto" w:fill="D9D9D9" w:themeFill="background1" w:themeFillShade="D9"/>
          </w:tcPr>
          <w:p w14:paraId="0B5A1028" w14:textId="77777777" w:rsidR="000B7F7D" w:rsidRPr="003C48D4" w:rsidRDefault="000B7F7D" w:rsidP="00EE1980">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0B5A1029" w14:textId="77777777" w:rsidR="000B7F7D" w:rsidRPr="00DF0608" w:rsidRDefault="000B7F7D" w:rsidP="00EE1980">
            <w:pPr>
              <w:spacing w:after="120"/>
              <w:rPr>
                <w:i/>
                <w:sz w:val="18"/>
                <w:szCs w:val="18"/>
              </w:rPr>
            </w:pPr>
            <w:r w:rsidRPr="00DF0608">
              <w:rPr>
                <w:sz w:val="18"/>
                <w:szCs w:val="18"/>
              </w:rPr>
              <w:t xml:space="preserve">Not Applicable </w:t>
            </w:r>
          </w:p>
        </w:tc>
      </w:tr>
      <w:tr w:rsidR="000B7F7D" w:rsidRPr="003C48D4" w14:paraId="0B5A102D" w14:textId="77777777" w:rsidTr="00EE1980">
        <w:tc>
          <w:tcPr>
            <w:tcW w:w="4410" w:type="dxa"/>
            <w:tcBorders>
              <w:left w:val="single" w:sz="12" w:space="0" w:color="auto"/>
              <w:bottom w:val="single" w:sz="12" w:space="0" w:color="auto"/>
            </w:tcBorders>
            <w:shd w:val="clear" w:color="auto" w:fill="D9D9D9" w:themeFill="background1" w:themeFillShade="D9"/>
          </w:tcPr>
          <w:p w14:paraId="0B5A102B" w14:textId="77777777" w:rsidR="000B7F7D" w:rsidRPr="003C48D4" w:rsidRDefault="000B7F7D" w:rsidP="00EE1980">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102C" w14:textId="77777777" w:rsidR="000B7F7D" w:rsidRPr="00DF0608" w:rsidRDefault="000B7F7D" w:rsidP="00EE1980">
            <w:pPr>
              <w:spacing w:after="120"/>
              <w:rPr>
                <w:i/>
                <w:sz w:val="18"/>
                <w:szCs w:val="18"/>
              </w:rPr>
            </w:pPr>
            <w:r w:rsidRPr="00DF0608">
              <w:rPr>
                <w:sz w:val="18"/>
                <w:szCs w:val="18"/>
              </w:rPr>
              <w:t>Not Applicable</w:t>
            </w:r>
          </w:p>
        </w:tc>
      </w:tr>
    </w:tbl>
    <w:p w14:paraId="0B5A102E" w14:textId="77777777" w:rsidR="000B7F7D" w:rsidRDefault="000B7F7D" w:rsidP="000B7F7D"/>
    <w:p w14:paraId="0B5A102F" w14:textId="77777777" w:rsidR="000B7F7D" w:rsidRDefault="000B7F7D" w:rsidP="000B7F7D"/>
    <w:p w14:paraId="0B5A1030" w14:textId="77777777" w:rsidR="000B7F7D" w:rsidRDefault="000B7F7D" w:rsidP="000B7F7D"/>
    <w:p w14:paraId="0B5A1031" w14:textId="77777777" w:rsidR="000B7F7D" w:rsidRDefault="000B7F7D" w:rsidP="000B7F7D"/>
    <w:p w14:paraId="0B5A1032" w14:textId="77777777" w:rsidR="000B7F7D" w:rsidRDefault="000B7F7D" w:rsidP="000B7F7D"/>
    <w:p w14:paraId="0B5A1033" w14:textId="77777777" w:rsidR="000B7F7D" w:rsidRDefault="000B7F7D" w:rsidP="000B7F7D"/>
    <w:p w14:paraId="0B5A1034" w14:textId="77777777" w:rsidR="000B7F7D" w:rsidRDefault="000B7F7D" w:rsidP="000B7F7D"/>
    <w:p w14:paraId="0B5A1035" w14:textId="77777777" w:rsidR="000B7F7D" w:rsidRDefault="000B7F7D" w:rsidP="000B7F7D"/>
    <w:p w14:paraId="0B5A1036" w14:textId="77777777" w:rsidR="000B7F7D" w:rsidRDefault="000B7F7D" w:rsidP="000B7F7D"/>
    <w:p w14:paraId="0B5A1037" w14:textId="77777777" w:rsidR="000B7F7D" w:rsidRDefault="000B7F7D" w:rsidP="000B7F7D"/>
    <w:tbl>
      <w:tblPr>
        <w:tblStyle w:val="TableGrid"/>
        <w:tblW w:w="14400" w:type="dxa"/>
        <w:tblInd w:w="468" w:type="dxa"/>
        <w:tblLook w:val="04A0" w:firstRow="1" w:lastRow="0" w:firstColumn="1" w:lastColumn="0" w:noHBand="0" w:noVBand="1"/>
      </w:tblPr>
      <w:tblGrid>
        <w:gridCol w:w="4410"/>
        <w:gridCol w:w="9990"/>
      </w:tblGrid>
      <w:tr w:rsidR="000B7F7D" w:rsidRPr="003C48D4" w14:paraId="0B5A103A"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38" w14:textId="77777777" w:rsidR="000B7F7D" w:rsidRPr="003C48D4" w:rsidRDefault="000B7F7D"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1039" w14:textId="77777777" w:rsidR="000B7F7D" w:rsidRDefault="000B7F7D" w:rsidP="00EE1980">
            <w:pPr>
              <w:spacing w:after="120"/>
              <w:jc w:val="both"/>
              <w:rPr>
                <w:sz w:val="19"/>
                <w:szCs w:val="19"/>
              </w:rPr>
            </w:pPr>
            <w:r>
              <w:rPr>
                <w:sz w:val="19"/>
                <w:szCs w:val="19"/>
              </w:rPr>
              <w:t>J.P.</w:t>
            </w:r>
            <w:r w:rsidRPr="000615FB">
              <w:rPr>
                <w:sz w:val="19"/>
                <w:szCs w:val="19"/>
              </w:rPr>
              <w:t xml:space="preserve"> Morgan Securities PLC </w:t>
            </w:r>
            <w:r>
              <w:rPr>
                <w:sz w:val="19"/>
                <w:szCs w:val="19"/>
              </w:rPr>
              <w:t>(</w:t>
            </w:r>
            <w:r w:rsidRPr="000615FB">
              <w:rPr>
                <w:sz w:val="19"/>
                <w:szCs w:val="19"/>
              </w:rPr>
              <w:t>K6Q0W1PS1L1O4IQL9C32</w:t>
            </w:r>
            <w:r>
              <w:rPr>
                <w:sz w:val="19"/>
                <w:szCs w:val="19"/>
              </w:rPr>
              <w:t>)</w:t>
            </w:r>
          </w:p>
        </w:tc>
      </w:tr>
      <w:tr w:rsidR="000B7F7D" w:rsidRPr="003C48D4" w14:paraId="0B5A103D"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3B" w14:textId="77777777" w:rsidR="000B7F7D" w:rsidRPr="003C48D4" w:rsidRDefault="000B7F7D"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103C" w14:textId="77777777" w:rsidR="000B7F7D" w:rsidRPr="003C48D4" w:rsidRDefault="000B7F7D" w:rsidP="00EE1980">
            <w:pPr>
              <w:spacing w:after="120"/>
              <w:jc w:val="both"/>
              <w:rPr>
                <w:color w:val="0000FF"/>
                <w:sz w:val="18"/>
                <w:szCs w:val="18"/>
              </w:rPr>
            </w:pPr>
            <w:r>
              <w:rPr>
                <w:sz w:val="19"/>
                <w:szCs w:val="19"/>
              </w:rPr>
              <w:t xml:space="preserve">Commodities derivatives and emission allowances derivatives: </w:t>
            </w:r>
            <w:r w:rsidRPr="00B04363">
              <w:rPr>
                <w:sz w:val="19"/>
                <w:szCs w:val="19"/>
              </w:rPr>
              <w:t>Other commodities derivatives and emission allowances derivatives</w:t>
            </w:r>
          </w:p>
        </w:tc>
      </w:tr>
      <w:tr w:rsidR="000B7F7D" w:rsidRPr="003C48D4" w14:paraId="0B5A103F"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103E" w14:textId="77777777" w:rsidR="000B7F7D" w:rsidRPr="003C48D4" w:rsidRDefault="000B7F7D" w:rsidP="00EE1980">
            <w:pPr>
              <w:jc w:val="center"/>
              <w:rPr>
                <w:sz w:val="18"/>
                <w:szCs w:val="18"/>
              </w:rPr>
            </w:pPr>
            <w:r w:rsidRPr="003C48D4">
              <w:rPr>
                <w:sz w:val="18"/>
                <w:szCs w:val="18"/>
              </w:rPr>
              <w:t>Summary of Analysis</w:t>
            </w:r>
          </w:p>
        </w:tc>
      </w:tr>
      <w:tr w:rsidR="000B7F7D" w:rsidRPr="003C48D4" w14:paraId="0B5A1041" w14:textId="77777777" w:rsidTr="00EE1980">
        <w:tc>
          <w:tcPr>
            <w:tcW w:w="14400" w:type="dxa"/>
            <w:gridSpan w:val="2"/>
            <w:tcBorders>
              <w:left w:val="single" w:sz="12" w:space="0" w:color="auto"/>
              <w:right w:val="single" w:sz="12" w:space="0" w:color="auto"/>
            </w:tcBorders>
          </w:tcPr>
          <w:p w14:paraId="0B5A1040" w14:textId="77777777" w:rsidR="000B7F7D" w:rsidRPr="000C75E5" w:rsidRDefault="000B7F7D" w:rsidP="00EE1980">
            <w:pPr>
              <w:spacing w:after="120"/>
              <w:jc w:val="both"/>
              <w:rPr>
                <w:sz w:val="19"/>
                <w:szCs w:val="19"/>
              </w:rPr>
            </w:pPr>
            <w:r>
              <w:rPr>
                <w:sz w:val="19"/>
                <w:szCs w:val="19"/>
              </w:rPr>
              <w:t xml:space="preserve">For </w:t>
            </w:r>
            <w:r w:rsidRPr="00C8611B">
              <w:rPr>
                <w:sz w:val="19"/>
                <w:szCs w:val="19"/>
              </w:rPr>
              <w:t xml:space="preserve">the year of 2017 for </w:t>
            </w:r>
            <w:proofErr w:type="spellStart"/>
            <w:r w:rsidRPr="00C8611B">
              <w:rPr>
                <w:sz w:val="19"/>
                <w:szCs w:val="19"/>
              </w:rPr>
              <w:t>eCommerce</w:t>
            </w:r>
            <w:proofErr w:type="spellEnd"/>
            <w:r w:rsidRPr="00C8611B">
              <w:rPr>
                <w:sz w:val="19"/>
                <w:szCs w:val="19"/>
              </w:rPr>
              <w:t xml:space="preserve"> Orders</w:t>
            </w:r>
            <w:r w:rsidRPr="00861DC6">
              <w:rPr>
                <w:sz w:val="19"/>
                <w:szCs w:val="19"/>
              </w:rPr>
              <w:t xml:space="preserve">, </w:t>
            </w:r>
            <w:r>
              <w:rPr>
                <w:sz w:val="19"/>
                <w:szCs w:val="19"/>
              </w:rPr>
              <w:t>J.P.</w:t>
            </w:r>
            <w:r w:rsidRPr="000615FB">
              <w:rPr>
                <w:sz w:val="19"/>
                <w:szCs w:val="19"/>
              </w:rPr>
              <w:t xml:space="preserve"> Morgan Securities PLC</w:t>
            </w:r>
            <w:r w:rsidRPr="00861DC6" w:rsidDel="00440F47">
              <w:rPr>
                <w:sz w:val="19"/>
                <w:szCs w:val="19"/>
              </w:rPr>
              <w:t xml:space="preserve"> </w:t>
            </w:r>
            <w:r w:rsidRPr="00861DC6">
              <w:rPr>
                <w:sz w:val="19"/>
                <w:szCs w:val="19"/>
              </w:rPr>
              <w:t>collated quoted bid/offer spreads over a rolling time frame, and analysed this in comparison to completed leave transaction</w:t>
            </w:r>
            <w:r>
              <w:rPr>
                <w:sz w:val="19"/>
                <w:szCs w:val="19"/>
              </w:rPr>
              <w:t>s</w:t>
            </w:r>
            <w:r w:rsidRPr="00861DC6">
              <w:rPr>
                <w:sz w:val="19"/>
                <w:szCs w:val="19"/>
              </w:rPr>
              <w:t xml:space="preserve"> to identify outliers. For all in scope transactions, </w:t>
            </w:r>
            <w:r>
              <w:rPr>
                <w:sz w:val="19"/>
                <w:szCs w:val="19"/>
              </w:rPr>
              <w:t>J.P.</w:t>
            </w:r>
            <w:r w:rsidRPr="000615FB">
              <w:rPr>
                <w:sz w:val="19"/>
                <w:szCs w:val="19"/>
              </w:rPr>
              <w:t xml:space="preserve"> Morgan Securities PLC</w:t>
            </w:r>
            <w:r w:rsidRPr="00861DC6" w:rsidDel="00440F47">
              <w:rPr>
                <w:sz w:val="19"/>
                <w:szCs w:val="19"/>
              </w:rPr>
              <w:t xml:space="preserve"> </w:t>
            </w:r>
            <w:r w:rsidRPr="00861DC6">
              <w:rPr>
                <w:sz w:val="19"/>
                <w:szCs w:val="19"/>
              </w:rPr>
              <w:t xml:space="preserve">was able to demonstrate that Best Execution was provided. Clients direct their orders to </w:t>
            </w:r>
            <w:r>
              <w:rPr>
                <w:sz w:val="19"/>
                <w:szCs w:val="19"/>
              </w:rPr>
              <w:t>J.P.</w:t>
            </w:r>
            <w:r w:rsidRPr="000615FB">
              <w:rPr>
                <w:sz w:val="19"/>
                <w:szCs w:val="19"/>
              </w:rPr>
              <w:t xml:space="preserve"> Morgan Securities PLC</w:t>
            </w:r>
            <w:r w:rsidRPr="00861DC6" w:rsidDel="00440F47">
              <w:rPr>
                <w:sz w:val="19"/>
                <w:szCs w:val="19"/>
              </w:rPr>
              <w:t xml:space="preserve"> </w:t>
            </w:r>
            <w:r w:rsidRPr="00861DC6">
              <w:rPr>
                <w:sz w:val="19"/>
                <w:szCs w:val="19"/>
              </w:rPr>
              <w:t>to execute as principal and we therefore treat all orders as directed as we are the sole execution venue.</w:t>
            </w:r>
            <w:r>
              <w:rPr>
                <w:sz w:val="19"/>
                <w:szCs w:val="19"/>
              </w:rPr>
              <w:t xml:space="preserve"> </w:t>
            </w:r>
          </w:p>
        </w:tc>
      </w:tr>
      <w:tr w:rsidR="000B7F7D" w:rsidRPr="003C48D4" w14:paraId="0B5A1044" w14:textId="77777777" w:rsidTr="00EE1980">
        <w:tc>
          <w:tcPr>
            <w:tcW w:w="4410" w:type="dxa"/>
            <w:tcBorders>
              <w:left w:val="single" w:sz="12" w:space="0" w:color="auto"/>
            </w:tcBorders>
            <w:shd w:val="clear" w:color="auto" w:fill="D9D9D9" w:themeFill="background1" w:themeFillShade="D9"/>
          </w:tcPr>
          <w:p w14:paraId="0B5A1042" w14:textId="77777777" w:rsidR="000B7F7D" w:rsidRPr="003C48D4" w:rsidRDefault="000B7F7D" w:rsidP="00EE1980">
            <w:pPr>
              <w:rPr>
                <w:sz w:val="18"/>
                <w:szCs w:val="18"/>
              </w:rPr>
            </w:pPr>
            <w:r w:rsidRPr="003C48D4">
              <w:rPr>
                <w:sz w:val="18"/>
                <w:szCs w:val="18"/>
              </w:rPr>
              <w:t>Relative importance given to execution factors &amp; other considerations</w:t>
            </w:r>
          </w:p>
        </w:tc>
        <w:tc>
          <w:tcPr>
            <w:tcW w:w="9990" w:type="dxa"/>
            <w:tcBorders>
              <w:right w:val="single" w:sz="12" w:space="0" w:color="auto"/>
            </w:tcBorders>
          </w:tcPr>
          <w:p w14:paraId="0B5A1043" w14:textId="77777777" w:rsidR="000B7F7D" w:rsidRPr="00901F44" w:rsidRDefault="000B7F7D" w:rsidP="00EE1980">
            <w:pPr>
              <w:spacing w:after="120"/>
              <w:jc w:val="both"/>
              <w:rPr>
                <w:i/>
                <w:sz w:val="18"/>
                <w:szCs w:val="18"/>
              </w:rPr>
            </w:pPr>
            <w:r w:rsidRPr="00861DC6">
              <w:rPr>
                <w:sz w:val="19"/>
                <w:szCs w:val="19"/>
              </w:rPr>
              <w:t xml:space="preserve">As per Appendix 5 of J.P. Morgan’s Execution Policy price is the most important factor. After price, the likelihood of execution and the ability to fill </w:t>
            </w:r>
            <w:r>
              <w:rPr>
                <w:sz w:val="19"/>
                <w:szCs w:val="19"/>
              </w:rPr>
              <w:t>a client’s</w:t>
            </w:r>
            <w:r w:rsidRPr="00861DC6">
              <w:rPr>
                <w:sz w:val="19"/>
                <w:szCs w:val="19"/>
              </w:rPr>
              <w:t xml:space="preserve"> order in its entirety </w:t>
            </w:r>
            <w:r>
              <w:rPr>
                <w:sz w:val="19"/>
                <w:szCs w:val="19"/>
              </w:rPr>
              <w:t xml:space="preserve">– </w:t>
            </w:r>
            <w:r w:rsidRPr="00861DC6">
              <w:rPr>
                <w:sz w:val="19"/>
                <w:szCs w:val="19"/>
              </w:rPr>
              <w:t>or at least a substantial part of it</w:t>
            </w:r>
            <w:r>
              <w:rPr>
                <w:sz w:val="19"/>
                <w:szCs w:val="19"/>
              </w:rPr>
              <w:t xml:space="preserve"> – are the most important factors</w:t>
            </w:r>
            <w:r w:rsidRPr="00861DC6">
              <w:rPr>
                <w:sz w:val="19"/>
                <w:szCs w:val="19"/>
              </w:rPr>
              <w:t xml:space="preserve">. </w:t>
            </w:r>
            <w:r>
              <w:rPr>
                <w:sz w:val="19"/>
                <w:szCs w:val="19"/>
              </w:rPr>
              <w:t xml:space="preserve">This latter factor increases in importance in situations where access to liquidity in the relevant instrument is constrained in some way – for example, if the commodity contract of the transaction is illiquid, or if the limit price provided is not marketable. </w:t>
            </w:r>
          </w:p>
        </w:tc>
      </w:tr>
      <w:tr w:rsidR="000B7F7D" w:rsidRPr="003C48D4" w14:paraId="0B5A1047" w14:textId="77777777" w:rsidTr="00EE1980">
        <w:tc>
          <w:tcPr>
            <w:tcW w:w="4410" w:type="dxa"/>
            <w:tcBorders>
              <w:left w:val="single" w:sz="12" w:space="0" w:color="auto"/>
            </w:tcBorders>
            <w:shd w:val="clear" w:color="auto" w:fill="D9D9D9" w:themeFill="background1" w:themeFillShade="D9"/>
          </w:tcPr>
          <w:p w14:paraId="0B5A1045" w14:textId="77777777" w:rsidR="000B7F7D" w:rsidRPr="003C48D4" w:rsidRDefault="000B7F7D" w:rsidP="00EE1980">
            <w:pPr>
              <w:rPr>
                <w:sz w:val="18"/>
                <w:szCs w:val="18"/>
              </w:rPr>
            </w:pPr>
            <w:r w:rsidRPr="003C48D4">
              <w:rPr>
                <w:sz w:val="18"/>
                <w:szCs w:val="18"/>
              </w:rPr>
              <w:t>Execution venue close links / conflicts of interest / common ownerships</w:t>
            </w:r>
          </w:p>
        </w:tc>
        <w:tc>
          <w:tcPr>
            <w:tcW w:w="9990" w:type="dxa"/>
            <w:tcBorders>
              <w:right w:val="single" w:sz="12" w:space="0" w:color="auto"/>
            </w:tcBorders>
          </w:tcPr>
          <w:p w14:paraId="0B5A1046" w14:textId="77777777" w:rsidR="000B7F7D" w:rsidRPr="00861DC6" w:rsidRDefault="000B7F7D" w:rsidP="00EE1980">
            <w:pPr>
              <w:rPr>
                <w:sz w:val="19"/>
                <w:szCs w:val="19"/>
              </w:rPr>
            </w:pPr>
            <w:r w:rsidRPr="00861DC6">
              <w:rPr>
                <w:sz w:val="19"/>
                <w:szCs w:val="19"/>
              </w:rPr>
              <w:t xml:space="preserve">J.P. Morgan Securities PLC is a fully owned subsidiary of </w:t>
            </w:r>
            <w:r>
              <w:rPr>
                <w:sz w:val="19"/>
                <w:szCs w:val="19"/>
              </w:rPr>
              <w:t>J.P.</w:t>
            </w:r>
            <w:r w:rsidRPr="00861DC6">
              <w:rPr>
                <w:sz w:val="19"/>
                <w:szCs w:val="19"/>
              </w:rPr>
              <w:t xml:space="preserve"> Morgan Chase &amp; Co.</w:t>
            </w:r>
          </w:p>
        </w:tc>
      </w:tr>
      <w:tr w:rsidR="000B7F7D" w:rsidRPr="003C48D4" w14:paraId="0B5A104A" w14:textId="77777777" w:rsidTr="00EE1980">
        <w:tc>
          <w:tcPr>
            <w:tcW w:w="4410" w:type="dxa"/>
            <w:tcBorders>
              <w:left w:val="single" w:sz="12" w:space="0" w:color="auto"/>
            </w:tcBorders>
            <w:shd w:val="clear" w:color="auto" w:fill="D9D9D9" w:themeFill="background1" w:themeFillShade="D9"/>
          </w:tcPr>
          <w:p w14:paraId="0B5A1048" w14:textId="77777777" w:rsidR="000B7F7D" w:rsidRPr="003C48D4" w:rsidRDefault="000B7F7D" w:rsidP="00EE1980">
            <w:pPr>
              <w:rPr>
                <w:sz w:val="18"/>
                <w:szCs w:val="18"/>
              </w:rPr>
            </w:pPr>
            <w:r w:rsidRPr="003C48D4">
              <w:rPr>
                <w:sz w:val="18"/>
                <w:szCs w:val="18"/>
              </w:rPr>
              <w:t>Specific execution venue arrangements</w:t>
            </w:r>
          </w:p>
        </w:tc>
        <w:tc>
          <w:tcPr>
            <w:tcW w:w="9990" w:type="dxa"/>
            <w:tcBorders>
              <w:right w:val="single" w:sz="12" w:space="0" w:color="auto"/>
            </w:tcBorders>
          </w:tcPr>
          <w:p w14:paraId="0B5A1049" w14:textId="77777777" w:rsidR="000B7F7D" w:rsidRPr="00861DC6" w:rsidRDefault="000B7F7D" w:rsidP="00EE1980">
            <w:pPr>
              <w:rPr>
                <w:sz w:val="19"/>
                <w:szCs w:val="19"/>
              </w:rPr>
            </w:pPr>
            <w:r w:rsidRPr="00861DC6">
              <w:rPr>
                <w:sz w:val="19"/>
                <w:szCs w:val="19"/>
              </w:rPr>
              <w:t xml:space="preserve">J.P. Morgan Securities PLC is the sole execution venue. </w:t>
            </w:r>
          </w:p>
        </w:tc>
      </w:tr>
      <w:tr w:rsidR="000B7F7D" w:rsidRPr="003C48D4" w14:paraId="0B5A104D" w14:textId="77777777" w:rsidTr="00EE1980">
        <w:trPr>
          <w:trHeight w:val="368"/>
        </w:trPr>
        <w:tc>
          <w:tcPr>
            <w:tcW w:w="4410" w:type="dxa"/>
            <w:tcBorders>
              <w:left w:val="single" w:sz="12" w:space="0" w:color="auto"/>
            </w:tcBorders>
            <w:shd w:val="clear" w:color="auto" w:fill="D9D9D9" w:themeFill="background1" w:themeFillShade="D9"/>
          </w:tcPr>
          <w:p w14:paraId="0B5A104B" w14:textId="77777777" w:rsidR="000B7F7D" w:rsidRPr="003C48D4" w:rsidRDefault="000B7F7D" w:rsidP="00EE1980">
            <w:pPr>
              <w:rPr>
                <w:sz w:val="18"/>
                <w:szCs w:val="18"/>
              </w:rPr>
            </w:pPr>
            <w:r w:rsidRPr="003C48D4">
              <w:rPr>
                <w:sz w:val="18"/>
                <w:szCs w:val="18"/>
              </w:rPr>
              <w:t>Changes to execution venues</w:t>
            </w:r>
          </w:p>
        </w:tc>
        <w:tc>
          <w:tcPr>
            <w:tcW w:w="9990" w:type="dxa"/>
            <w:tcBorders>
              <w:right w:val="single" w:sz="12" w:space="0" w:color="auto"/>
            </w:tcBorders>
          </w:tcPr>
          <w:p w14:paraId="0B5A104C" w14:textId="77777777" w:rsidR="000B7F7D" w:rsidRPr="00861DC6" w:rsidRDefault="000B7F7D" w:rsidP="00EE1980">
            <w:pPr>
              <w:spacing w:after="120"/>
              <w:rPr>
                <w:sz w:val="19"/>
                <w:szCs w:val="19"/>
              </w:rPr>
            </w:pPr>
            <w:r w:rsidRPr="00861DC6">
              <w:rPr>
                <w:sz w:val="19"/>
                <w:szCs w:val="19"/>
              </w:rPr>
              <w:t>Not Applicable</w:t>
            </w:r>
          </w:p>
        </w:tc>
      </w:tr>
      <w:tr w:rsidR="000B7F7D" w:rsidRPr="003C48D4" w14:paraId="0B5A1050" w14:textId="77777777" w:rsidTr="00EE1980">
        <w:tc>
          <w:tcPr>
            <w:tcW w:w="4410" w:type="dxa"/>
            <w:tcBorders>
              <w:left w:val="single" w:sz="12" w:space="0" w:color="auto"/>
            </w:tcBorders>
            <w:shd w:val="clear" w:color="auto" w:fill="D9D9D9" w:themeFill="background1" w:themeFillShade="D9"/>
          </w:tcPr>
          <w:p w14:paraId="0B5A104E" w14:textId="77777777" w:rsidR="000B7F7D" w:rsidRPr="003C48D4" w:rsidRDefault="000B7F7D" w:rsidP="00EE1980">
            <w:pPr>
              <w:rPr>
                <w:sz w:val="18"/>
                <w:szCs w:val="18"/>
              </w:rPr>
            </w:pPr>
            <w:r w:rsidRPr="003C48D4">
              <w:rPr>
                <w:sz w:val="18"/>
                <w:szCs w:val="18"/>
              </w:rPr>
              <w:t>Client distinctions</w:t>
            </w:r>
          </w:p>
        </w:tc>
        <w:tc>
          <w:tcPr>
            <w:tcW w:w="9990" w:type="dxa"/>
            <w:tcBorders>
              <w:right w:val="single" w:sz="12" w:space="0" w:color="auto"/>
            </w:tcBorders>
          </w:tcPr>
          <w:p w14:paraId="0B5A104F" w14:textId="77777777" w:rsidR="000B7F7D" w:rsidRPr="00861DC6" w:rsidRDefault="000B7F7D" w:rsidP="00EE1980">
            <w:pPr>
              <w:spacing w:after="120"/>
              <w:rPr>
                <w:sz w:val="19"/>
                <w:szCs w:val="19"/>
              </w:rPr>
            </w:pPr>
            <w:r w:rsidRPr="00861DC6">
              <w:rPr>
                <w:sz w:val="19"/>
                <w:szCs w:val="19"/>
              </w:rPr>
              <w:t>J.P. Morgan Securities PLC only deals with Professional clients for the purposes of Best Execution</w:t>
            </w:r>
            <w:r>
              <w:rPr>
                <w:sz w:val="19"/>
                <w:szCs w:val="19"/>
              </w:rPr>
              <w:t>.</w:t>
            </w:r>
            <w:r w:rsidRPr="00861DC6">
              <w:rPr>
                <w:sz w:val="19"/>
                <w:szCs w:val="19"/>
              </w:rPr>
              <w:t xml:space="preserve">  </w:t>
            </w:r>
          </w:p>
        </w:tc>
      </w:tr>
      <w:tr w:rsidR="000B7F7D" w:rsidRPr="003C48D4" w14:paraId="0B5A1053" w14:textId="77777777" w:rsidTr="00EE1980">
        <w:trPr>
          <w:trHeight w:val="70"/>
        </w:trPr>
        <w:tc>
          <w:tcPr>
            <w:tcW w:w="4410" w:type="dxa"/>
            <w:tcBorders>
              <w:left w:val="single" w:sz="12" w:space="0" w:color="auto"/>
            </w:tcBorders>
            <w:shd w:val="clear" w:color="auto" w:fill="D9D9D9" w:themeFill="background1" w:themeFillShade="D9"/>
          </w:tcPr>
          <w:p w14:paraId="0B5A1051" w14:textId="77777777" w:rsidR="000B7F7D" w:rsidRPr="003C48D4" w:rsidRDefault="000B7F7D" w:rsidP="00EE1980">
            <w:pPr>
              <w:rPr>
                <w:sz w:val="18"/>
                <w:szCs w:val="18"/>
              </w:rPr>
            </w:pPr>
            <w:r w:rsidRPr="003C48D4">
              <w:rPr>
                <w:sz w:val="18"/>
                <w:szCs w:val="18"/>
              </w:rPr>
              <w:t>Use of data/tools relating to the quality of execution</w:t>
            </w:r>
          </w:p>
        </w:tc>
        <w:tc>
          <w:tcPr>
            <w:tcW w:w="9990" w:type="dxa"/>
            <w:tcBorders>
              <w:right w:val="single" w:sz="12" w:space="0" w:color="auto"/>
            </w:tcBorders>
          </w:tcPr>
          <w:p w14:paraId="0B5A1052" w14:textId="77777777" w:rsidR="000B7F7D" w:rsidRPr="00861DC6" w:rsidRDefault="000B7F7D" w:rsidP="00EE1980">
            <w:pPr>
              <w:spacing w:after="120"/>
              <w:rPr>
                <w:sz w:val="19"/>
                <w:szCs w:val="19"/>
              </w:rPr>
            </w:pPr>
            <w:r w:rsidRPr="00861DC6">
              <w:rPr>
                <w:sz w:val="19"/>
                <w:szCs w:val="19"/>
              </w:rPr>
              <w:t xml:space="preserve">Not Applicable </w:t>
            </w:r>
          </w:p>
        </w:tc>
      </w:tr>
      <w:tr w:rsidR="000B7F7D" w:rsidRPr="003C48D4" w14:paraId="0B5A1056" w14:textId="77777777" w:rsidTr="00EE1980">
        <w:tc>
          <w:tcPr>
            <w:tcW w:w="4410" w:type="dxa"/>
            <w:tcBorders>
              <w:left w:val="single" w:sz="12" w:space="0" w:color="auto"/>
              <w:bottom w:val="single" w:sz="12" w:space="0" w:color="auto"/>
            </w:tcBorders>
            <w:shd w:val="clear" w:color="auto" w:fill="D9D9D9" w:themeFill="background1" w:themeFillShade="D9"/>
          </w:tcPr>
          <w:p w14:paraId="0B5A1054" w14:textId="77777777" w:rsidR="000B7F7D" w:rsidRPr="003C48D4" w:rsidRDefault="000B7F7D" w:rsidP="00EE1980">
            <w:pPr>
              <w:rPr>
                <w:sz w:val="18"/>
                <w:szCs w:val="18"/>
              </w:rPr>
            </w:pPr>
            <w:r w:rsidRPr="003C48D4">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B5A1055" w14:textId="77777777" w:rsidR="000B7F7D" w:rsidRPr="00861DC6" w:rsidRDefault="000B7F7D" w:rsidP="00EE1980">
            <w:pPr>
              <w:spacing w:after="120"/>
              <w:rPr>
                <w:sz w:val="19"/>
                <w:szCs w:val="19"/>
              </w:rPr>
            </w:pPr>
            <w:r w:rsidRPr="00861DC6">
              <w:rPr>
                <w:sz w:val="19"/>
                <w:szCs w:val="19"/>
              </w:rPr>
              <w:t>Not Applicable</w:t>
            </w:r>
          </w:p>
        </w:tc>
      </w:tr>
    </w:tbl>
    <w:p w14:paraId="0B5A1057" w14:textId="77777777" w:rsidR="000B7F7D" w:rsidRDefault="000B7F7D" w:rsidP="000B7F7D"/>
    <w:p w14:paraId="0B5A1058" w14:textId="77777777" w:rsidR="000B7F7D" w:rsidRDefault="000B7F7D" w:rsidP="000B7F7D"/>
    <w:p w14:paraId="0B5A1059" w14:textId="77777777" w:rsidR="000B7F7D" w:rsidRDefault="000B7F7D" w:rsidP="000B7F7D"/>
    <w:p w14:paraId="0B5A105A" w14:textId="77777777" w:rsidR="000B7F7D" w:rsidRDefault="000B7F7D" w:rsidP="000B7F7D"/>
    <w:p w14:paraId="0B5A105B" w14:textId="77777777" w:rsidR="000B7F7D" w:rsidRDefault="000B7F7D" w:rsidP="000B7F7D"/>
    <w:p w14:paraId="0B5A105C" w14:textId="77777777" w:rsidR="000B7F7D" w:rsidRDefault="000B7F7D" w:rsidP="000B7F7D"/>
    <w:p w14:paraId="0B5A105D" w14:textId="77777777" w:rsidR="000B7F7D" w:rsidRDefault="000B7F7D" w:rsidP="000B7F7D"/>
    <w:p w14:paraId="0B5A105E" w14:textId="77777777" w:rsidR="000B7F7D" w:rsidRDefault="000B7F7D" w:rsidP="000B7F7D"/>
    <w:p w14:paraId="0B5A105F" w14:textId="77777777" w:rsidR="000B7F7D" w:rsidRDefault="000B7F7D" w:rsidP="000B7F7D"/>
    <w:p w14:paraId="0B5A1060" w14:textId="77777777" w:rsidR="000B7F7D" w:rsidRDefault="000B7F7D" w:rsidP="000B7F7D"/>
    <w:p w14:paraId="0B5A1061" w14:textId="77777777" w:rsidR="00D71DB9" w:rsidRDefault="00D71DB9" w:rsidP="000B7F7D"/>
    <w:tbl>
      <w:tblPr>
        <w:tblStyle w:val="TableGrid"/>
        <w:tblW w:w="14400" w:type="dxa"/>
        <w:tblInd w:w="468" w:type="dxa"/>
        <w:tblLook w:val="04A0" w:firstRow="1" w:lastRow="0" w:firstColumn="1" w:lastColumn="0" w:noHBand="0" w:noVBand="1"/>
      </w:tblPr>
      <w:tblGrid>
        <w:gridCol w:w="4410"/>
        <w:gridCol w:w="9990"/>
      </w:tblGrid>
      <w:tr w:rsidR="00D71DB9" w:rsidRPr="003C48D4" w14:paraId="0B5A1064"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62" w14:textId="77777777" w:rsidR="00D71DB9" w:rsidRPr="003C48D4" w:rsidRDefault="00D71DB9" w:rsidP="00EE1980">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B5A1063" w14:textId="77777777" w:rsidR="00D71DB9" w:rsidRDefault="00D71DB9" w:rsidP="00EE1980">
            <w:pPr>
              <w:rPr>
                <w:sz w:val="18"/>
                <w:szCs w:val="18"/>
              </w:rPr>
            </w:pPr>
            <w:r>
              <w:rPr>
                <w:sz w:val="18"/>
                <w:szCs w:val="18"/>
              </w:rPr>
              <w:t xml:space="preserve">J.P. Morgan Securities PLC </w:t>
            </w:r>
            <w:r w:rsidRPr="00576636">
              <w:rPr>
                <w:sz w:val="18"/>
                <w:szCs w:val="18"/>
              </w:rPr>
              <w:t xml:space="preserve"> </w:t>
            </w:r>
            <w:r>
              <w:rPr>
                <w:sz w:val="18"/>
                <w:szCs w:val="18"/>
              </w:rPr>
              <w:t>(</w:t>
            </w:r>
            <w:r w:rsidRPr="00576636">
              <w:rPr>
                <w:sz w:val="18"/>
                <w:szCs w:val="18"/>
              </w:rPr>
              <w:t>K6Q0W1PS1L1O4IQL9C32</w:t>
            </w:r>
            <w:r>
              <w:rPr>
                <w:sz w:val="18"/>
                <w:szCs w:val="18"/>
              </w:rPr>
              <w:t>)</w:t>
            </w:r>
          </w:p>
        </w:tc>
      </w:tr>
      <w:tr w:rsidR="00D71DB9" w:rsidRPr="003C48D4" w14:paraId="0B5A1067" w14:textId="77777777" w:rsidTr="00EE19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5A1065" w14:textId="77777777" w:rsidR="00D71DB9" w:rsidRPr="003C48D4" w:rsidRDefault="00D71DB9" w:rsidP="00EE1980">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B5A1066" w14:textId="77777777" w:rsidR="00D71DB9" w:rsidRPr="003C48D4" w:rsidRDefault="00D71DB9" w:rsidP="00EE1980">
            <w:pPr>
              <w:rPr>
                <w:color w:val="0000FF"/>
                <w:sz w:val="18"/>
                <w:szCs w:val="18"/>
              </w:rPr>
            </w:pPr>
            <w:r w:rsidRPr="0003509A">
              <w:rPr>
                <w:sz w:val="18"/>
                <w:szCs w:val="18"/>
                <w:lang w:val="en-US"/>
              </w:rPr>
              <w:t>Options and Futures admitted to trading on a trading venue</w:t>
            </w:r>
            <w:r>
              <w:rPr>
                <w:sz w:val="18"/>
                <w:szCs w:val="18"/>
              </w:rPr>
              <w:t xml:space="preserve"> (all</w:t>
            </w:r>
            <w:r w:rsidRPr="0003509A">
              <w:rPr>
                <w:sz w:val="18"/>
                <w:szCs w:val="18"/>
              </w:rPr>
              <w:t xml:space="preserve"> instrument classes) </w:t>
            </w:r>
          </w:p>
        </w:tc>
      </w:tr>
      <w:tr w:rsidR="00D71DB9" w:rsidRPr="003C48D4" w14:paraId="0B5A1069" w14:textId="77777777" w:rsidTr="00EE19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B5A1068" w14:textId="77777777" w:rsidR="00D71DB9" w:rsidRPr="003C48D4" w:rsidRDefault="00D71DB9" w:rsidP="00EE1980">
            <w:pPr>
              <w:jc w:val="center"/>
              <w:rPr>
                <w:sz w:val="18"/>
                <w:szCs w:val="18"/>
              </w:rPr>
            </w:pPr>
            <w:r w:rsidRPr="003C48D4">
              <w:rPr>
                <w:sz w:val="18"/>
                <w:szCs w:val="18"/>
              </w:rPr>
              <w:t>Summary of Analysis</w:t>
            </w:r>
          </w:p>
        </w:tc>
      </w:tr>
      <w:tr w:rsidR="00D71DB9" w:rsidRPr="003C48D4" w14:paraId="0B5A106D" w14:textId="77777777" w:rsidTr="00EE1980">
        <w:tc>
          <w:tcPr>
            <w:tcW w:w="14400" w:type="dxa"/>
            <w:gridSpan w:val="2"/>
            <w:tcBorders>
              <w:left w:val="single" w:sz="12" w:space="0" w:color="auto"/>
              <w:right w:val="single" w:sz="12" w:space="0" w:color="auto"/>
            </w:tcBorders>
          </w:tcPr>
          <w:p w14:paraId="0B5A106A" w14:textId="77777777" w:rsidR="00D71DB9" w:rsidRPr="00B674C2" w:rsidRDefault="00D71DB9" w:rsidP="00EE1980">
            <w:pPr>
              <w:rPr>
                <w:sz w:val="18"/>
                <w:szCs w:val="18"/>
              </w:rPr>
            </w:pPr>
          </w:p>
          <w:p w14:paraId="0B5A106B" w14:textId="77777777" w:rsidR="00D71DB9" w:rsidRPr="0003509A" w:rsidRDefault="00D71DB9" w:rsidP="00EE1980">
            <w:pPr>
              <w:rPr>
                <w:rFonts w:ascii="Calibri" w:hAnsi="Calibri" w:cs="Calibri"/>
                <w:iCs/>
                <w:sz w:val="18"/>
                <w:szCs w:val="18"/>
              </w:rPr>
            </w:pPr>
            <w:r w:rsidRPr="0003509A">
              <w:rPr>
                <w:rFonts w:ascii="Calibri" w:hAnsi="Calibri" w:cs="Calibri"/>
                <w:iCs/>
                <w:sz w:val="18"/>
                <w:szCs w:val="18"/>
              </w:rPr>
              <w:t xml:space="preserve">Execution Venue Reports in respect of Exchange Traded Derivatives will not be published for the 2017 calendar year; reports for the 2018 calendar year will be published by 30 April 2019.  For further information on J.P. Morgan’s Execution Policy, please consult </w:t>
            </w:r>
            <w:hyperlink r:id="rId12" w:history="1">
              <w:r w:rsidRPr="00BA377E">
                <w:rPr>
                  <w:rStyle w:val="Hyperlink"/>
                  <w:rFonts w:ascii="Calibri" w:hAnsi="Calibri" w:cs="Calibri"/>
                  <w:iCs/>
                  <w:sz w:val="18"/>
                  <w:szCs w:val="18"/>
                </w:rPr>
                <w:t>https://www.jpmorgan.com/pages/disclosures/mifidii</w:t>
              </w:r>
            </w:hyperlink>
            <w:r>
              <w:rPr>
                <w:rFonts w:ascii="Calibri" w:hAnsi="Calibri" w:cs="Calibri"/>
                <w:iCs/>
                <w:sz w:val="18"/>
                <w:szCs w:val="18"/>
              </w:rPr>
              <w:t xml:space="preserve"> </w:t>
            </w:r>
            <w:r w:rsidRPr="0003509A">
              <w:rPr>
                <w:rFonts w:ascii="Calibri" w:hAnsi="Calibri" w:cs="Calibri"/>
                <w:iCs/>
                <w:sz w:val="18"/>
                <w:szCs w:val="18"/>
              </w:rPr>
              <w:t>or contact your usual J.P. Morgan contact.</w:t>
            </w:r>
          </w:p>
          <w:p w14:paraId="0B5A106C" w14:textId="77777777" w:rsidR="00D71DB9" w:rsidRPr="00B674C2" w:rsidRDefault="00D71DB9" w:rsidP="00EE1980">
            <w:pPr>
              <w:rPr>
                <w:sz w:val="18"/>
                <w:szCs w:val="18"/>
              </w:rPr>
            </w:pPr>
            <w:r w:rsidRPr="00B674C2">
              <w:rPr>
                <w:sz w:val="18"/>
                <w:szCs w:val="18"/>
              </w:rPr>
              <w:br/>
            </w:r>
          </w:p>
        </w:tc>
      </w:tr>
    </w:tbl>
    <w:p w14:paraId="0B5A106E" w14:textId="77777777" w:rsidR="00D71DB9" w:rsidRPr="000B7F7D" w:rsidRDefault="00D71DB9" w:rsidP="000B7F7D"/>
    <w:sectPr w:rsidR="00D71DB9" w:rsidRPr="000B7F7D" w:rsidSect="00791919">
      <w:footerReference w:type="default" r:id="rId13"/>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A1071" w14:textId="77777777" w:rsidR="00225A2C" w:rsidRDefault="00225A2C" w:rsidP="00791919">
      <w:pPr>
        <w:spacing w:after="0" w:line="240" w:lineRule="auto"/>
      </w:pPr>
      <w:r>
        <w:separator/>
      </w:r>
    </w:p>
  </w:endnote>
  <w:endnote w:type="continuationSeparator" w:id="0">
    <w:p w14:paraId="0B5A1072" w14:textId="77777777" w:rsidR="00225A2C" w:rsidRDefault="00225A2C"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F_Kai">
    <w:altName w:val="Arial Unicode MS"/>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1073" w14:textId="77777777" w:rsidR="00791919" w:rsidRPr="00791919" w:rsidRDefault="000B7F7D">
    <w:pPr>
      <w:pStyle w:val="Footer"/>
      <w:rPr>
        <w:color w:val="000000" w:themeColor="text1"/>
        <w:sz w:val="20"/>
        <w:szCs w:val="20"/>
      </w:rPr>
    </w:pPr>
    <w:r>
      <w:rPr>
        <w:color w:val="000000" w:themeColor="text1"/>
        <w:sz w:val="20"/>
        <w:szCs w:val="20"/>
      </w:rPr>
      <w:t xml:space="preserve">J.P. Morgan Securities PLC </w:t>
    </w:r>
  </w:p>
  <w:p w14:paraId="0B5A1074" w14:textId="77777777" w:rsidR="00791919" w:rsidRDefault="00791919">
    <w:pPr>
      <w:pStyle w:val="Footer"/>
    </w:pPr>
    <w:r>
      <w:rPr>
        <w:noProof/>
        <w:lang w:eastAsia="en-GB"/>
      </w:rPr>
      <mc:AlternateContent>
        <mc:Choice Requires="wps">
          <w:drawing>
            <wp:anchor distT="0" distB="0" distL="114300" distR="114300" simplePos="0" relativeHeight="251659264" behindDoc="0" locked="0" layoutInCell="1" allowOverlap="1" wp14:anchorId="0B5A1075" wp14:editId="0B5A107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5A107B"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B8DC7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Pr>
        <w:noProof/>
        <w:color w:val="4F81BD" w:themeColor="accent1"/>
        <w:lang w:eastAsia="en-GB"/>
      </w:rPr>
      <mc:AlternateContent>
        <mc:Choice Requires="wps">
          <w:drawing>
            <wp:anchor distT="91440" distB="91440" distL="114300" distR="114300" simplePos="0" relativeHeight="251660288" behindDoc="1" locked="0" layoutInCell="1" allowOverlap="1" wp14:anchorId="0B5A1077" wp14:editId="0B5A107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5F99C9"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A106F" w14:textId="77777777" w:rsidR="00225A2C" w:rsidRDefault="00225A2C" w:rsidP="00791919">
      <w:pPr>
        <w:spacing w:after="0" w:line="240" w:lineRule="auto"/>
      </w:pPr>
      <w:r>
        <w:separator/>
      </w:r>
    </w:p>
  </w:footnote>
  <w:footnote w:type="continuationSeparator" w:id="0">
    <w:p w14:paraId="0B5A1070" w14:textId="77777777" w:rsidR="00225A2C" w:rsidRDefault="00225A2C" w:rsidP="00791919">
      <w:pPr>
        <w:spacing w:after="0" w:line="240" w:lineRule="auto"/>
      </w:pPr>
      <w:r>
        <w:continuationSeparator/>
      </w:r>
    </w:p>
  </w:footnote>
  <w:footnote w:id="1">
    <w:p w14:paraId="0B5A1079" w14:textId="77777777" w:rsidR="00671A06" w:rsidRPr="00AB2361" w:rsidRDefault="00671A06" w:rsidP="00AB2361">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0B5A107A" w14:textId="77777777" w:rsidR="00AB2361" w:rsidRDefault="00AB2361">
      <w:pPr>
        <w:pStyle w:val="FootnoteText"/>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9C5DD6"/>
    <w:multiLevelType w:val="hybridMultilevel"/>
    <w:tmpl w:val="0FDCDF9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54A4"/>
    <w:rsid w:val="000469E1"/>
    <w:rsid w:val="00053C8D"/>
    <w:rsid w:val="000615FB"/>
    <w:rsid w:val="000A552A"/>
    <w:rsid w:val="000B29B9"/>
    <w:rsid w:val="000B7F7D"/>
    <w:rsid w:val="000C75E5"/>
    <w:rsid w:val="00132457"/>
    <w:rsid w:val="001C69CA"/>
    <w:rsid w:val="001D0CA7"/>
    <w:rsid w:val="001E4046"/>
    <w:rsid w:val="00210DEB"/>
    <w:rsid w:val="00217666"/>
    <w:rsid w:val="00225A2C"/>
    <w:rsid w:val="00236BCE"/>
    <w:rsid w:val="002A6C0E"/>
    <w:rsid w:val="002B39A0"/>
    <w:rsid w:val="002D07D7"/>
    <w:rsid w:val="002D1780"/>
    <w:rsid w:val="003008C6"/>
    <w:rsid w:val="00307A3E"/>
    <w:rsid w:val="0035063A"/>
    <w:rsid w:val="003537EB"/>
    <w:rsid w:val="00365202"/>
    <w:rsid w:val="003A6015"/>
    <w:rsid w:val="003C48D4"/>
    <w:rsid w:val="004019E8"/>
    <w:rsid w:val="00440F47"/>
    <w:rsid w:val="0047552E"/>
    <w:rsid w:val="004F3991"/>
    <w:rsid w:val="00505752"/>
    <w:rsid w:val="0050737C"/>
    <w:rsid w:val="005110F9"/>
    <w:rsid w:val="00520E03"/>
    <w:rsid w:val="00551B11"/>
    <w:rsid w:val="00581B37"/>
    <w:rsid w:val="005C1689"/>
    <w:rsid w:val="005D73F3"/>
    <w:rsid w:val="00656ECF"/>
    <w:rsid w:val="00671A06"/>
    <w:rsid w:val="006B0D5E"/>
    <w:rsid w:val="006B380F"/>
    <w:rsid w:val="006B610D"/>
    <w:rsid w:val="0071640F"/>
    <w:rsid w:val="00732D0F"/>
    <w:rsid w:val="00791919"/>
    <w:rsid w:val="007A6941"/>
    <w:rsid w:val="007B228E"/>
    <w:rsid w:val="007C6493"/>
    <w:rsid w:val="00804E0D"/>
    <w:rsid w:val="008475F2"/>
    <w:rsid w:val="00861DC6"/>
    <w:rsid w:val="00891BBB"/>
    <w:rsid w:val="008A7E21"/>
    <w:rsid w:val="008C2482"/>
    <w:rsid w:val="008C3D9F"/>
    <w:rsid w:val="008E595C"/>
    <w:rsid w:val="00901F44"/>
    <w:rsid w:val="00902C96"/>
    <w:rsid w:val="00912863"/>
    <w:rsid w:val="00917912"/>
    <w:rsid w:val="009203A5"/>
    <w:rsid w:val="00963B3E"/>
    <w:rsid w:val="00965D08"/>
    <w:rsid w:val="00972105"/>
    <w:rsid w:val="009802F7"/>
    <w:rsid w:val="00984A7E"/>
    <w:rsid w:val="009E754E"/>
    <w:rsid w:val="009F492C"/>
    <w:rsid w:val="009F658D"/>
    <w:rsid w:val="00A24E5C"/>
    <w:rsid w:val="00A54A2F"/>
    <w:rsid w:val="00A872C5"/>
    <w:rsid w:val="00A937CF"/>
    <w:rsid w:val="00AA5380"/>
    <w:rsid w:val="00AB2361"/>
    <w:rsid w:val="00AD1EBB"/>
    <w:rsid w:val="00AE1027"/>
    <w:rsid w:val="00AE1F1F"/>
    <w:rsid w:val="00AE4966"/>
    <w:rsid w:val="00B04363"/>
    <w:rsid w:val="00B12695"/>
    <w:rsid w:val="00B87544"/>
    <w:rsid w:val="00C302FD"/>
    <w:rsid w:val="00C8611B"/>
    <w:rsid w:val="00CC4589"/>
    <w:rsid w:val="00CF1737"/>
    <w:rsid w:val="00CF30DA"/>
    <w:rsid w:val="00D21276"/>
    <w:rsid w:val="00D4069F"/>
    <w:rsid w:val="00D71DB9"/>
    <w:rsid w:val="00E063FD"/>
    <w:rsid w:val="00E73067"/>
    <w:rsid w:val="00E845ED"/>
    <w:rsid w:val="00EE008A"/>
    <w:rsid w:val="00EE09DB"/>
    <w:rsid w:val="00F010E3"/>
    <w:rsid w:val="00F127C2"/>
    <w:rsid w:val="00F24840"/>
    <w:rsid w:val="00F32671"/>
    <w:rsid w:val="00F5586C"/>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5A0F3E"/>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Heading2"/>
    <w:link w:val="Heading1Char"/>
    <w:qFormat/>
    <w:rsid w:val="00AB2361"/>
    <w:pPr>
      <w:keepNext/>
      <w:pageBreakBefore/>
      <w:numPr>
        <w:numId w:val="3"/>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AB2361"/>
    <w:pPr>
      <w:keepNext/>
      <w:numPr>
        <w:ilvl w:val="1"/>
        <w:numId w:val="3"/>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AB2361"/>
    <w:pPr>
      <w:keepNext/>
      <w:numPr>
        <w:ilvl w:val="2"/>
        <w:numId w:val="3"/>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AB2361"/>
    <w:pPr>
      <w:keepNext/>
      <w:numPr>
        <w:ilvl w:val="3"/>
        <w:numId w:val="3"/>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AB2361"/>
    <w:pPr>
      <w:numPr>
        <w:ilvl w:val="4"/>
      </w:numPr>
      <w:outlineLvl w:val="4"/>
    </w:pPr>
    <w:rPr>
      <w:bCs w:val="0"/>
      <w:iCs/>
      <w:szCs w:val="26"/>
    </w:rPr>
  </w:style>
  <w:style w:type="paragraph" w:styleId="Heading6">
    <w:name w:val="heading 6"/>
    <w:basedOn w:val="Heading2"/>
    <w:next w:val="23BodyText"/>
    <w:link w:val="Heading6Char"/>
    <w:qFormat/>
    <w:rsid w:val="00AB2361"/>
    <w:pPr>
      <w:numPr>
        <w:ilvl w:val="5"/>
      </w:numPr>
      <w:outlineLvl w:val="5"/>
    </w:pPr>
    <w:rPr>
      <w:bCs w:val="0"/>
      <w:szCs w:val="22"/>
    </w:rPr>
  </w:style>
  <w:style w:type="paragraph" w:styleId="Heading7">
    <w:name w:val="heading 7"/>
    <w:basedOn w:val="Heading3"/>
    <w:next w:val="23BodyText"/>
    <w:link w:val="Heading7Char"/>
    <w:qFormat/>
    <w:rsid w:val="00AB2361"/>
    <w:pPr>
      <w:numPr>
        <w:ilvl w:val="6"/>
      </w:numPr>
      <w:outlineLvl w:val="6"/>
    </w:pPr>
  </w:style>
  <w:style w:type="paragraph" w:styleId="Heading8">
    <w:name w:val="heading 8"/>
    <w:basedOn w:val="Heading4"/>
    <w:next w:val="23BodyText"/>
    <w:link w:val="Heading8Char"/>
    <w:qFormat/>
    <w:rsid w:val="00AB236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FootnoteText">
    <w:name w:val="footnote text"/>
    <w:basedOn w:val="Normal"/>
    <w:link w:val="FootnoteTextChar"/>
    <w:semiHidden/>
    <w:unhideWhenUsed/>
    <w:rsid w:val="009F658D"/>
    <w:pPr>
      <w:spacing w:after="0" w:line="240" w:lineRule="auto"/>
    </w:pPr>
    <w:rPr>
      <w:sz w:val="20"/>
      <w:szCs w:val="20"/>
    </w:rPr>
  </w:style>
  <w:style w:type="character" w:customStyle="1" w:styleId="FootnoteTextChar">
    <w:name w:val="Footnote Text Char"/>
    <w:basedOn w:val="DefaultParagraphFont"/>
    <w:link w:val="FootnoteText"/>
    <w:semiHidden/>
    <w:rsid w:val="009F658D"/>
    <w:rPr>
      <w:sz w:val="20"/>
      <w:szCs w:val="20"/>
    </w:rPr>
  </w:style>
  <w:style w:type="paragraph" w:styleId="ListParagraph">
    <w:name w:val="List Paragraph"/>
    <w:basedOn w:val="Normal"/>
    <w:uiPriority w:val="34"/>
    <w:qFormat/>
    <w:rsid w:val="009F658D"/>
    <w:pPr>
      <w:spacing w:after="160" w:line="259" w:lineRule="auto"/>
      <w:ind w:left="720"/>
      <w:contextualSpacing/>
    </w:pPr>
  </w:style>
  <w:style w:type="table" w:customStyle="1" w:styleId="TableGrid1">
    <w:name w:val="Table Grid1"/>
    <w:basedOn w:val="TableNormal"/>
    <w:next w:val="TableGrid"/>
    <w:uiPriority w:val="59"/>
    <w:rsid w:val="009F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658D"/>
    <w:rPr>
      <w:color w:val="0000FF" w:themeColor="hyperlink"/>
      <w:u w:val="single"/>
    </w:rPr>
  </w:style>
  <w:style w:type="character" w:styleId="FootnoteReference">
    <w:name w:val="footnote reference"/>
    <w:basedOn w:val="DefaultParagraphFont"/>
    <w:uiPriority w:val="99"/>
    <w:semiHidden/>
    <w:unhideWhenUsed/>
    <w:rsid w:val="00AB2361"/>
    <w:rPr>
      <w:vertAlign w:val="superscript"/>
    </w:rPr>
  </w:style>
  <w:style w:type="character" w:customStyle="1" w:styleId="Heading1Char">
    <w:name w:val="Heading 1 Char"/>
    <w:aliases w:val="Chapter Title Char"/>
    <w:basedOn w:val="DefaultParagraphFont"/>
    <w:link w:val="Heading1"/>
    <w:rsid w:val="00AB236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AB236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AB236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AB236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AB236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AB236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AB236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AB2361"/>
    <w:rPr>
      <w:rFonts w:ascii="Arial" w:eastAsia="LF_Kai" w:hAnsi="Arial" w:cs="Arial"/>
      <w:bCs/>
      <w:i/>
      <w:iCs/>
      <w:color w:val="000000"/>
      <w:sz w:val="20"/>
      <w:szCs w:val="28"/>
      <w:lang w:eastAsia="zh-CN" w:bidi="yi-Hebr"/>
    </w:rPr>
  </w:style>
  <w:style w:type="paragraph" w:customStyle="1" w:styleId="23BodyText">
    <w:name w:val="23 Body Text"/>
    <w:basedOn w:val="Normal"/>
    <w:rsid w:val="00AB236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AB2361"/>
    <w:pPr>
      <w:ind w:left="720" w:hanging="720"/>
      <w:contextualSpacing/>
    </w:pPr>
  </w:style>
  <w:style w:type="character" w:styleId="CommentReference">
    <w:name w:val="annotation reference"/>
    <w:basedOn w:val="DefaultParagraphFont"/>
    <w:uiPriority w:val="99"/>
    <w:semiHidden/>
    <w:unhideWhenUsed/>
    <w:rsid w:val="00D21276"/>
    <w:rPr>
      <w:sz w:val="16"/>
      <w:szCs w:val="16"/>
    </w:rPr>
  </w:style>
  <w:style w:type="paragraph" w:styleId="CommentText">
    <w:name w:val="annotation text"/>
    <w:basedOn w:val="Normal"/>
    <w:link w:val="CommentTextChar"/>
    <w:uiPriority w:val="99"/>
    <w:semiHidden/>
    <w:unhideWhenUsed/>
    <w:rsid w:val="00D21276"/>
    <w:pPr>
      <w:spacing w:line="240" w:lineRule="auto"/>
    </w:pPr>
    <w:rPr>
      <w:sz w:val="20"/>
      <w:szCs w:val="20"/>
    </w:rPr>
  </w:style>
  <w:style w:type="character" w:customStyle="1" w:styleId="CommentTextChar">
    <w:name w:val="Comment Text Char"/>
    <w:basedOn w:val="DefaultParagraphFont"/>
    <w:link w:val="CommentText"/>
    <w:uiPriority w:val="99"/>
    <w:semiHidden/>
    <w:rsid w:val="00D21276"/>
    <w:rPr>
      <w:sz w:val="20"/>
      <w:szCs w:val="20"/>
    </w:rPr>
  </w:style>
  <w:style w:type="paragraph" w:styleId="CommentSubject">
    <w:name w:val="annotation subject"/>
    <w:basedOn w:val="CommentText"/>
    <w:next w:val="CommentText"/>
    <w:link w:val="CommentSubjectChar"/>
    <w:uiPriority w:val="99"/>
    <w:semiHidden/>
    <w:unhideWhenUsed/>
    <w:rsid w:val="00D21276"/>
    <w:rPr>
      <w:b/>
      <w:bCs/>
    </w:rPr>
  </w:style>
  <w:style w:type="character" w:customStyle="1" w:styleId="CommentSubjectChar">
    <w:name w:val="Comment Subject Char"/>
    <w:basedOn w:val="CommentTextChar"/>
    <w:link w:val="CommentSubject"/>
    <w:uiPriority w:val="99"/>
    <w:semiHidden/>
    <w:rsid w:val="00D212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jpmorgan.com/pages/disclosures/mifidii"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directdoc/mifidii-appendix2-cash-equities-policy.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2583-424D-4D41-B8E6-AE082E9FFFA4}">
  <ds:schemaRefs>
    <ds:schemaRef ds:uri="http://schemas.microsoft.com/sharepoint/v3/contenttype/forms"/>
  </ds:schemaRefs>
</ds:datastoreItem>
</file>

<file path=customXml/itemProps2.xml><?xml version="1.0" encoding="utf-8"?>
<ds:datastoreItem xmlns:ds="http://schemas.openxmlformats.org/officeDocument/2006/customXml" ds:itemID="{075BD049-99AE-449F-8417-D215B1D18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EB6311-A195-40CE-96AD-DA0A1F4019D8}">
  <ds:schemaRefs>
    <ds:schemaRef ds:uri="http://purl.org/dc/elements/1.1/"/>
    <ds:schemaRef ds:uri="http://schemas.microsoft.com/office/2006/documentManagement/types"/>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http://schemas.microsoft.com/office/infopath/2007/PartnerControls"/>
    <ds:schemaRef ds:uri="7d1f7825-6765-4743-817d-89ed4ea58d40"/>
  </ds:schemaRefs>
</ds:datastoreItem>
</file>

<file path=customXml/itemProps4.xml><?xml version="1.0" encoding="utf-8"?>
<ds:datastoreItem xmlns:ds="http://schemas.openxmlformats.org/officeDocument/2006/customXml" ds:itemID="{AD963436-A842-4F7F-BCF9-5CE6BE1B6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2600</Words>
  <Characters>14825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17391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Ruchman, Adam T</dc:creator>
  <cp:lastModifiedBy>Ruchman, Adam T</cp:lastModifiedBy>
  <cp:revision>4</cp:revision>
  <cp:lastPrinted>2018-04-25T14:14:00Z</cp:lastPrinted>
  <dcterms:created xsi:type="dcterms:W3CDTF">2018-04-27T12:44:00Z</dcterms:created>
  <dcterms:modified xsi:type="dcterms:W3CDTF">2018-04-27T15:07:00Z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